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Arial" w:cs="Arial" w:eastAsia="Arial" w:hAnsi="Arial"/>
          <w:sz w:val="25"/>
          <w:szCs w:val="25"/>
          <w:b w:val="1"/>
          <w:bCs w:val="1"/>
          <w:color w:val="auto"/>
        </w:rPr>
        <w:drawing>
          <wp:anchor simplePos="0" relativeHeight="251657728" behindDoc="1" locked="0" layoutInCell="0" allowOverlap="1">
            <wp:simplePos x="0" y="0"/>
            <wp:positionH relativeFrom="page">
              <wp:posOffset>208280</wp:posOffset>
            </wp:positionH>
            <wp:positionV relativeFrom="page">
              <wp:posOffset>226060</wp:posOffset>
            </wp:positionV>
            <wp:extent cx="71323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26035"/>
                    </a:xfrm>
                    <a:prstGeom prst="rect">
                      <a:avLst/>
                    </a:prstGeom>
                    <a:noFill/>
                  </pic:spPr>
                </pic:pic>
              </a:graphicData>
            </a:graphic>
          </wp:anchor>
        </w:drawing>
        <w:drawing>
          <wp:anchor simplePos="0" relativeHeight="251657728" behindDoc="1" locked="0" layoutInCell="0" allowOverlap="1">
            <wp:simplePos x="0" y="0"/>
            <wp:positionH relativeFrom="page">
              <wp:posOffset>208280</wp:posOffset>
            </wp:positionH>
            <wp:positionV relativeFrom="page">
              <wp:posOffset>260350</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t>UNITED STATES</w:t>
      </w:r>
    </w:p>
    <w:p>
      <w:pPr>
        <w:spacing w:after="0" w:line="3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SECURITIES AND EXCHANGE COMMISSION</w:t>
      </w:r>
    </w:p>
    <w:p>
      <w:pPr>
        <w:spacing w:after="0" w:line="1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Washington, D.C. 20549</w:t>
      </w:r>
    </w:p>
    <w:p>
      <w:pPr>
        <w:spacing w:after="0" w:line="19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FORM 6-K</w:t>
      </w:r>
    </w:p>
    <w:p>
      <w:pPr>
        <w:spacing w:after="0" w:line="2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Short Form of Press Release</w:t>
      </w:r>
    </w:p>
    <w:p>
      <w:pPr>
        <w:spacing w:after="0" w:line="225"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Commission File Number 1-11414</w:t>
      </w:r>
    </w:p>
    <w:p>
      <w:pPr>
        <w:spacing w:after="0" w:line="216"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(Exact name of Registrant as specified in its Charter)</w:t>
      </w:r>
    </w:p>
    <w:p>
      <w:pPr>
        <w:spacing w:after="0" w:line="20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2" w:lineRule="exact"/>
        <w:rPr>
          <w:sz w:val="24"/>
          <w:szCs w:val="24"/>
          <w:color w:val="auto"/>
        </w:rPr>
      </w:pPr>
    </w:p>
    <w:p>
      <w:pPr>
        <w:ind w:left="4580"/>
        <w:spacing w:after="0" w:line="207" w:lineRule="exact"/>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rFonts w:ascii="Arial" w:cs="Arial" w:eastAsia="Arial" w:hAnsi="Arial"/>
          <w:sz w:val="18"/>
          <w:szCs w:val="18"/>
          <w:color w:val="auto"/>
        </w:rPr>
        <w:t xml:space="preserve"> Form 40-F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16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16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207010</wp:posOffset>
            </wp:positionV>
            <wp:extent cx="71323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224155</wp:posOffset>
            </wp:positionV>
            <wp:extent cx="7132320" cy="25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2540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524510</wp:posOffset>
            </wp:positionV>
            <wp:extent cx="71323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139"/>
          </w:cols>
          <w:pgMar w:left="320" w:top="697"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July 28, 2020</w:t>
      </w:r>
    </w:p>
    <w:p>
      <w:pPr>
        <w:spacing w:after="0" w:line="23" w:lineRule="exact"/>
        <w:rPr>
          <w:sz w:val="20"/>
          <w:szCs w:val="20"/>
          <w:color w:val="auto"/>
        </w:rPr>
      </w:pPr>
    </w:p>
    <w:p>
      <w:pPr>
        <w:ind w:left="5200"/>
        <w:spacing w:after="0"/>
        <w:rPr>
          <w:sz w:val="20"/>
          <w:szCs w:val="20"/>
          <w:color w:val="auto"/>
        </w:rPr>
      </w:pPr>
      <w:r>
        <w:rPr>
          <w:rFonts w:ascii="Arial" w:cs="Arial" w:eastAsia="Arial" w:hAnsi="Arial"/>
          <w:sz w:val="18"/>
          <w:szCs w:val="18"/>
          <w:color w:val="auto"/>
        </w:rPr>
        <w:t>FOREIGN TRADE BANK OF LATIN AMERICA, INC.</w:t>
      </w:r>
    </w:p>
    <w:p>
      <w:pPr>
        <w:spacing w:after="0" w:line="9" w:lineRule="exact"/>
        <w:rPr>
          <w:sz w:val="20"/>
          <w:szCs w:val="20"/>
          <w:color w:val="auto"/>
        </w:rPr>
      </w:pPr>
    </w:p>
    <w:p>
      <w:pPr>
        <w:ind w:left="5200"/>
        <w:spacing w:after="0"/>
        <w:rPr>
          <w:sz w:val="20"/>
          <w:szCs w:val="20"/>
          <w:color w:val="auto"/>
        </w:rPr>
      </w:pPr>
      <w:r>
        <w:rPr>
          <w:rFonts w:ascii="Arial" w:cs="Arial" w:eastAsia="Arial" w:hAnsi="Arial"/>
          <w:sz w:val="18"/>
          <w:szCs w:val="18"/>
          <w:i w:val="1"/>
          <w:iCs w:val="1"/>
          <w:color w:val="auto"/>
        </w:rPr>
        <w:t>(Registrant)</w:t>
      </w:r>
    </w:p>
    <w:p>
      <w:pPr>
        <w:spacing w:after="0" w:line="211"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By: /s/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3785235</wp:posOffset>
            </wp:positionH>
            <wp:positionV relativeFrom="paragraph">
              <wp:posOffset>14605</wp:posOffset>
            </wp:positionV>
            <wp:extent cx="335153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3351530" cy="8255"/>
                    </a:xfrm>
                    <a:prstGeom prst="rect">
                      <a:avLst/>
                    </a:prstGeom>
                    <a:noFill/>
                  </pic:spPr>
                </pic:pic>
              </a:graphicData>
            </a:graphic>
          </wp:anchor>
        </w:drawing>
      </w:r>
    </w:p>
    <w:p>
      <w:pPr>
        <w:spacing w:after="0" w:line="205"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Name: Ana Graciela de Méndez</w:t>
      </w:r>
    </w:p>
    <w:p>
      <w:pPr>
        <w:spacing w:after="0" w:line="23"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Title: 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417195</wp:posOffset>
            </wp:positionV>
            <wp:extent cx="7132320"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208280</wp:posOffset>
            </wp:positionH>
            <wp:positionV relativeFrom="page">
              <wp:posOffset>2849245</wp:posOffset>
            </wp:positionV>
            <wp:extent cx="7132320" cy="13887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7132320" cy="13887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jc w:val="center"/>
        <w:ind w:left="340" w:right="140"/>
        <w:spacing w:after="0" w:line="282" w:lineRule="auto"/>
        <w:rPr>
          <w:sz w:val="20"/>
          <w:szCs w:val="20"/>
          <w:color w:val="auto"/>
        </w:rPr>
      </w:pPr>
      <w:r>
        <w:rPr>
          <w:rFonts w:ascii="Arial" w:cs="Arial" w:eastAsia="Arial" w:hAnsi="Arial"/>
          <w:sz w:val="18"/>
          <w:szCs w:val="18"/>
          <w:b w:val="1"/>
          <w:bCs w:val="1"/>
          <w:color w:val="auto"/>
        </w:rPr>
        <w:t>BLADEX REPORTS A QUARTERLY PROFIT OF $14.1 MILLION, OR $0.36 PER SHARE, WITH SOLID CREDIT COLLECTIONS AND AMPLE LIQUIDITY LEVELS</w:t>
      </w:r>
    </w:p>
    <w:p>
      <w:pPr>
        <w:spacing w:after="0" w:line="16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PANAMA CITY, REPUBLIC OF PANAMA, July 28, 2020</w:t>
      </w:r>
    </w:p>
    <w:p>
      <w:pPr>
        <w:spacing w:after="0" w:line="225" w:lineRule="exact"/>
        <w:rPr>
          <w:sz w:val="20"/>
          <w:szCs w:val="20"/>
          <w:color w:val="auto"/>
        </w:rPr>
      </w:pPr>
    </w:p>
    <w:p>
      <w:pPr>
        <w:jc w:val="both"/>
        <w:spacing w:after="0" w:line="266" w:lineRule="auto"/>
        <w:rPr>
          <w:sz w:val="20"/>
          <w:szCs w:val="20"/>
          <w:color w:val="auto"/>
        </w:rPr>
      </w:pPr>
      <w:r>
        <w:rPr>
          <w:rFonts w:ascii="Arial" w:cs="Arial" w:eastAsia="Arial" w:hAnsi="Arial"/>
          <w:sz w:val="18"/>
          <w:szCs w:val="18"/>
          <w:b w:val="1"/>
          <w:bCs w:val="1"/>
          <w:color w:val="auto"/>
        </w:rPr>
        <w:t xml:space="preserve">Banco Latinoamericano de Comercio Exterior, S.A. </w:t>
      </w:r>
      <w:r>
        <w:rPr>
          <w:rFonts w:ascii="Arial" w:cs="Arial" w:eastAsia="Arial" w:hAnsi="Arial"/>
          <w:sz w:val="18"/>
          <w:szCs w:val="18"/>
          <w:color w:val="auto"/>
        </w:rPr>
        <w:t>(NYSE: BLX, “Bladex”, or “the Bank”), a Panama-based multinational bank originally established</w:t>
      </w:r>
      <w:r>
        <w:rPr>
          <w:rFonts w:ascii="Arial" w:cs="Arial" w:eastAsia="Arial" w:hAnsi="Arial"/>
          <w:sz w:val="18"/>
          <w:szCs w:val="18"/>
          <w:b w:val="1"/>
          <w:bCs w:val="1"/>
          <w:color w:val="auto"/>
        </w:rPr>
        <w:t xml:space="preserve"> </w:t>
      </w:r>
      <w:r>
        <w:rPr>
          <w:rFonts w:ascii="Arial" w:cs="Arial" w:eastAsia="Arial" w:hAnsi="Arial"/>
          <w:sz w:val="18"/>
          <w:szCs w:val="18"/>
          <w:color w:val="auto"/>
        </w:rPr>
        <w:t>by the central banks of 23 Latin-American and Caribbean countries to promote foreign trade and economic integration in the region, today announced its results for the second quarter (“2Q20”) and six months (“6M20”) ended June 30, 2020.</w:t>
      </w:r>
    </w:p>
    <w:p>
      <w:pPr>
        <w:spacing w:after="0" w:line="18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consolidated financial information in this document has been prepared in accordance with International Financial Reporting Standards (“IFRS”) as issued by the International Accounting Standards Board (“IASB”).</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860" w:type="dxa"/>
            <w:vAlign w:val="bottom"/>
            <w:gridSpan w:val="2"/>
          </w:tcPr>
          <w:p>
            <w:pPr>
              <w:spacing w:after="0"/>
              <w:rPr>
                <w:sz w:val="20"/>
                <w:szCs w:val="20"/>
                <w:color w:val="auto"/>
              </w:rPr>
            </w:pPr>
            <w:r>
              <w:rPr>
                <w:rFonts w:ascii="Arial" w:cs="Arial" w:eastAsia="Arial" w:hAnsi="Arial"/>
                <w:sz w:val="18"/>
                <w:szCs w:val="18"/>
                <w:b w:val="1"/>
                <w:bCs w:val="1"/>
                <w:color w:val="auto"/>
              </w:rPr>
              <w:t>FINANCIAL SNAPSHOT</w:t>
            </w:r>
          </w:p>
        </w:tc>
        <w:tc>
          <w:tcPr>
            <w:tcW w:w="22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160" w:type="dxa"/>
            <w:vAlign w:val="bottom"/>
          </w:tcPr>
          <w:p>
            <w:pPr>
              <w:spacing w:after="0"/>
              <w:rPr>
                <w:sz w:val="20"/>
                <w:szCs w:val="20"/>
                <w:color w:val="auto"/>
              </w:rPr>
            </w:pPr>
          </w:p>
        </w:tc>
      </w:tr>
      <w:tr>
        <w:trPr>
          <w:trHeight w:val="445"/>
        </w:trPr>
        <w:tc>
          <w:tcPr>
            <w:tcW w:w="4860" w:type="dxa"/>
            <w:vAlign w:val="bottom"/>
            <w:gridSpan w:val="2"/>
          </w:tcPr>
          <w:p>
            <w:pPr>
              <w:spacing w:after="0"/>
              <w:rPr>
                <w:sz w:val="20"/>
                <w:szCs w:val="20"/>
                <w:color w:val="auto"/>
              </w:rPr>
            </w:pPr>
            <w:r>
              <w:rPr>
                <w:rFonts w:ascii="Arial" w:cs="Arial" w:eastAsia="Arial" w:hAnsi="Arial"/>
                <w:sz w:val="18"/>
                <w:szCs w:val="18"/>
                <w:color w:val="auto"/>
              </w:rPr>
              <w:t>(US$ million, except percentages and per share amounts)</w:t>
            </w:r>
          </w:p>
        </w:tc>
        <w:tc>
          <w:tcPr>
            <w:tcW w:w="220" w:type="dxa"/>
            <w:vAlign w:val="bottom"/>
          </w:tcPr>
          <w:p>
            <w:pPr>
              <w:spacing w:after="0"/>
              <w:rPr>
                <w:sz w:val="24"/>
                <w:szCs w:val="24"/>
                <w:color w:val="auto"/>
              </w:rPr>
            </w:pPr>
          </w:p>
        </w:tc>
        <w:tc>
          <w:tcPr>
            <w:tcW w:w="108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6M20</w:t>
            </w:r>
          </w:p>
        </w:tc>
        <w:tc>
          <w:tcPr>
            <w:tcW w:w="220" w:type="dxa"/>
            <w:vAlign w:val="bottom"/>
          </w:tcPr>
          <w:p>
            <w:pPr>
              <w:spacing w:after="0"/>
              <w:rPr>
                <w:sz w:val="24"/>
                <w:szCs w:val="24"/>
                <w:color w:val="auto"/>
              </w:rPr>
            </w:pPr>
          </w:p>
        </w:tc>
        <w:tc>
          <w:tcPr>
            <w:tcW w:w="108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6M19</w:t>
            </w:r>
          </w:p>
        </w:tc>
        <w:tc>
          <w:tcPr>
            <w:tcW w:w="220" w:type="dxa"/>
            <w:vAlign w:val="bottom"/>
          </w:tcPr>
          <w:p>
            <w:pPr>
              <w:spacing w:after="0"/>
              <w:rPr>
                <w:sz w:val="24"/>
                <w:szCs w:val="24"/>
                <w:color w:val="auto"/>
              </w:rPr>
            </w:pPr>
          </w:p>
        </w:tc>
        <w:tc>
          <w:tcPr>
            <w:tcW w:w="1080" w:type="dxa"/>
            <w:vAlign w:val="bottom"/>
            <w:gridSpan w:val="2"/>
          </w:tcPr>
          <w:p>
            <w:pPr>
              <w:jc w:val="right"/>
              <w:ind w:right="580"/>
              <w:spacing w:after="0"/>
              <w:rPr>
                <w:sz w:val="20"/>
                <w:szCs w:val="20"/>
                <w:color w:val="auto"/>
              </w:rPr>
            </w:pPr>
            <w:r>
              <w:rPr>
                <w:rFonts w:ascii="Arial" w:cs="Arial" w:eastAsia="Arial" w:hAnsi="Arial"/>
                <w:sz w:val="18"/>
                <w:szCs w:val="18"/>
                <w:b w:val="1"/>
                <w:bCs w:val="1"/>
                <w:color w:val="auto"/>
              </w:rPr>
              <w:t>2Q20</w:t>
            </w:r>
          </w:p>
        </w:tc>
        <w:tc>
          <w:tcPr>
            <w:tcW w:w="220" w:type="dxa"/>
            <w:vAlign w:val="bottom"/>
          </w:tcPr>
          <w:p>
            <w:pPr>
              <w:spacing w:after="0"/>
              <w:rPr>
                <w:sz w:val="24"/>
                <w:szCs w:val="24"/>
                <w:color w:val="auto"/>
              </w:rPr>
            </w:pPr>
          </w:p>
        </w:tc>
        <w:tc>
          <w:tcPr>
            <w:tcW w:w="1080" w:type="dxa"/>
            <w:vAlign w:val="bottom"/>
            <w:gridSpan w:val="2"/>
          </w:tcPr>
          <w:p>
            <w:pPr>
              <w:jc w:val="right"/>
              <w:ind w:right="580"/>
              <w:spacing w:after="0"/>
              <w:rPr>
                <w:sz w:val="20"/>
                <w:szCs w:val="20"/>
                <w:color w:val="auto"/>
              </w:rPr>
            </w:pPr>
            <w:r>
              <w:rPr>
                <w:rFonts w:ascii="Arial" w:cs="Arial" w:eastAsia="Arial" w:hAnsi="Arial"/>
                <w:sz w:val="18"/>
                <w:szCs w:val="18"/>
                <w:b w:val="1"/>
                <w:bCs w:val="1"/>
                <w:color w:val="auto"/>
              </w:rPr>
              <w:t>1Q20</w:t>
            </w:r>
          </w:p>
        </w:tc>
        <w:tc>
          <w:tcPr>
            <w:tcW w:w="220" w:type="dxa"/>
            <w:vAlign w:val="bottom"/>
          </w:tcPr>
          <w:p>
            <w:pPr>
              <w:spacing w:after="0"/>
              <w:rPr>
                <w:sz w:val="24"/>
                <w:szCs w:val="24"/>
                <w:color w:val="auto"/>
              </w:rPr>
            </w:pPr>
          </w:p>
        </w:tc>
        <w:tc>
          <w:tcPr>
            <w:tcW w:w="96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2Q19</w:t>
            </w:r>
          </w:p>
        </w:tc>
      </w:tr>
      <w:tr>
        <w:trPr>
          <w:trHeight w:val="210"/>
        </w:trPr>
        <w:tc>
          <w:tcPr>
            <w:tcW w:w="47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Key Income Statement Highlights</w:t>
            </w:r>
          </w:p>
        </w:tc>
        <w:tc>
          <w:tcPr>
            <w:tcW w:w="10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r>
      <w:tr>
        <w:trPr>
          <w:trHeight w:val="216"/>
        </w:trPr>
        <w:tc>
          <w:tcPr>
            <w:tcW w:w="4860" w:type="dxa"/>
            <w:vAlign w:val="bottom"/>
            <w:gridSpan w:val="2"/>
          </w:tcPr>
          <w:p>
            <w:pPr>
              <w:spacing w:after="0"/>
              <w:rPr>
                <w:sz w:val="20"/>
                <w:szCs w:val="20"/>
                <w:color w:val="auto"/>
              </w:rPr>
            </w:pPr>
            <w:r>
              <w:rPr>
                <w:rFonts w:ascii="Arial" w:cs="Arial" w:eastAsia="Arial" w:hAnsi="Arial"/>
                <w:sz w:val="18"/>
                <w:szCs w:val="18"/>
                <w:color w:val="auto"/>
              </w:rPr>
              <w:t>Net Interest Income ("NII")</w:t>
            </w:r>
          </w:p>
        </w:tc>
        <w:tc>
          <w:tcPr>
            <w:tcW w:w="220" w:type="dxa"/>
            <w:vAlign w:val="bottom"/>
          </w:tcPr>
          <w:p>
            <w:pPr>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60"/>
              <w:spacing w:after="0"/>
              <w:rPr>
                <w:sz w:val="20"/>
                <w:szCs w:val="20"/>
                <w:color w:val="auto"/>
              </w:rPr>
            </w:pPr>
            <w:r>
              <w:rPr>
                <w:rFonts w:ascii="Arial" w:cs="Arial" w:eastAsia="Arial" w:hAnsi="Arial"/>
                <w:sz w:val="18"/>
                <w:szCs w:val="18"/>
                <w:color w:val="auto"/>
              </w:rPr>
              <w:t>47.5</w:t>
            </w:r>
          </w:p>
        </w:tc>
        <w:tc>
          <w:tcPr>
            <w:tcW w:w="220" w:type="dxa"/>
            <w:vAlign w:val="bottom"/>
          </w:tcPr>
          <w:p>
            <w:pPr>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60"/>
              <w:spacing w:after="0"/>
              <w:rPr>
                <w:sz w:val="20"/>
                <w:szCs w:val="20"/>
                <w:color w:val="auto"/>
              </w:rPr>
            </w:pPr>
            <w:r>
              <w:rPr>
                <w:rFonts w:ascii="Arial" w:cs="Arial" w:eastAsia="Arial" w:hAnsi="Arial"/>
                <w:sz w:val="18"/>
                <w:szCs w:val="18"/>
                <w:color w:val="auto"/>
              </w:rPr>
              <w:t>56.0</w:t>
            </w:r>
          </w:p>
        </w:tc>
        <w:tc>
          <w:tcPr>
            <w:tcW w:w="220" w:type="dxa"/>
            <w:vAlign w:val="bottom"/>
          </w:tcPr>
          <w:p>
            <w:pPr>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21.7</w:t>
            </w:r>
          </w:p>
        </w:tc>
        <w:tc>
          <w:tcPr>
            <w:tcW w:w="220" w:type="dxa"/>
            <w:vAlign w:val="bottom"/>
          </w:tcPr>
          <w:p>
            <w:pPr>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25.8</w:t>
            </w:r>
          </w:p>
        </w:tc>
        <w:tc>
          <w:tcPr>
            <w:tcW w:w="220" w:type="dxa"/>
            <w:vAlign w:val="bottom"/>
          </w:tcPr>
          <w:p>
            <w:pPr>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60"/>
              <w:spacing w:after="0"/>
              <w:rPr>
                <w:sz w:val="20"/>
                <w:szCs w:val="20"/>
                <w:color w:val="auto"/>
              </w:rPr>
            </w:pPr>
            <w:r>
              <w:rPr>
                <w:rFonts w:ascii="Arial" w:cs="Arial" w:eastAsia="Arial" w:hAnsi="Arial"/>
                <w:sz w:val="18"/>
                <w:szCs w:val="18"/>
                <w:color w:val="auto"/>
              </w:rPr>
              <w:t>27.9</w:t>
            </w:r>
          </w:p>
        </w:tc>
      </w:tr>
      <w:tr>
        <w:trPr>
          <w:trHeight w:val="216"/>
        </w:trPr>
        <w:tc>
          <w:tcPr>
            <w:tcW w:w="48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Fees and commissions, net</w:t>
            </w:r>
          </w:p>
        </w:tc>
        <w:tc>
          <w:tcPr>
            <w:tcW w:w="22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5.0</w:t>
            </w:r>
          </w:p>
        </w:tc>
        <w:tc>
          <w:tcPr>
            <w:tcW w:w="22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7.5</w:t>
            </w:r>
          </w:p>
        </w:tc>
        <w:tc>
          <w:tcPr>
            <w:tcW w:w="22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1.9</w:t>
            </w:r>
          </w:p>
        </w:tc>
        <w:tc>
          <w:tcPr>
            <w:tcW w:w="22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3.1</w:t>
            </w:r>
          </w:p>
        </w:tc>
        <w:tc>
          <w:tcPr>
            <w:tcW w:w="22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5.1</w:t>
            </w:r>
          </w:p>
        </w:tc>
      </w:tr>
      <w:tr>
        <w:trPr>
          <w:trHeight w:val="216"/>
        </w:trPr>
        <w:tc>
          <w:tcPr>
            <w:tcW w:w="4860" w:type="dxa"/>
            <w:vAlign w:val="bottom"/>
            <w:gridSpan w:val="2"/>
          </w:tcPr>
          <w:p>
            <w:pPr>
              <w:spacing w:after="0"/>
              <w:rPr>
                <w:sz w:val="20"/>
                <w:szCs w:val="20"/>
                <w:color w:val="auto"/>
              </w:rPr>
            </w:pPr>
            <w:r>
              <w:rPr>
                <w:rFonts w:ascii="Arial" w:cs="Arial" w:eastAsia="Arial" w:hAnsi="Arial"/>
                <w:sz w:val="18"/>
                <w:szCs w:val="18"/>
                <w:color w:val="auto"/>
              </w:rPr>
              <w:t>(Loss) gain on financial instruments, net</w:t>
            </w:r>
          </w:p>
        </w:tc>
        <w:tc>
          <w:tcPr>
            <w:tcW w:w="220" w:type="dxa"/>
            <w:vAlign w:val="bottom"/>
          </w:tcPr>
          <w:p>
            <w:pPr>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4.3)</w:t>
            </w:r>
          </w:p>
        </w:tc>
        <w:tc>
          <w:tcPr>
            <w:tcW w:w="220" w:type="dxa"/>
            <w:vAlign w:val="bottom"/>
          </w:tcPr>
          <w:p>
            <w:pPr>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60"/>
              <w:spacing w:after="0"/>
              <w:rPr>
                <w:sz w:val="20"/>
                <w:szCs w:val="20"/>
                <w:color w:val="auto"/>
              </w:rPr>
            </w:pPr>
            <w:r>
              <w:rPr>
                <w:rFonts w:ascii="Arial" w:cs="Arial" w:eastAsia="Arial" w:hAnsi="Arial"/>
                <w:sz w:val="18"/>
                <w:szCs w:val="18"/>
                <w:color w:val="auto"/>
              </w:rPr>
              <w:t>0.8</w:t>
            </w:r>
          </w:p>
        </w:tc>
        <w:tc>
          <w:tcPr>
            <w:tcW w:w="220" w:type="dxa"/>
            <w:vAlign w:val="bottom"/>
          </w:tcPr>
          <w:p>
            <w:pPr>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3.9)</w:t>
            </w:r>
          </w:p>
        </w:tc>
        <w:tc>
          <w:tcPr>
            <w:tcW w:w="220" w:type="dxa"/>
            <w:vAlign w:val="bottom"/>
          </w:tcPr>
          <w:p>
            <w:pPr>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0.4)</w:t>
            </w:r>
          </w:p>
        </w:tc>
        <w:tc>
          <w:tcPr>
            <w:tcW w:w="220" w:type="dxa"/>
            <w:vAlign w:val="bottom"/>
          </w:tcPr>
          <w:p>
            <w:pPr>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60"/>
              <w:spacing w:after="0"/>
              <w:rPr>
                <w:sz w:val="20"/>
                <w:szCs w:val="20"/>
                <w:color w:val="auto"/>
              </w:rPr>
            </w:pPr>
            <w:r>
              <w:rPr>
                <w:rFonts w:ascii="Arial" w:cs="Arial" w:eastAsia="Arial" w:hAnsi="Arial"/>
                <w:sz w:val="18"/>
                <w:szCs w:val="18"/>
                <w:color w:val="auto"/>
              </w:rPr>
              <w:t>0.1</w:t>
            </w:r>
          </w:p>
        </w:tc>
      </w:tr>
      <w:tr>
        <w:trPr>
          <w:trHeight w:val="216"/>
        </w:trPr>
        <w:tc>
          <w:tcPr>
            <w:tcW w:w="48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Total revenues</w:t>
            </w:r>
          </w:p>
        </w:tc>
        <w:tc>
          <w:tcPr>
            <w:tcW w:w="22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48.7</w:t>
            </w:r>
          </w:p>
        </w:tc>
        <w:tc>
          <w:tcPr>
            <w:tcW w:w="22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65.7</w:t>
            </w:r>
          </w:p>
        </w:tc>
        <w:tc>
          <w:tcPr>
            <w:tcW w:w="22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19.9</w:t>
            </w:r>
          </w:p>
        </w:tc>
        <w:tc>
          <w:tcPr>
            <w:tcW w:w="22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28.8</w:t>
            </w:r>
          </w:p>
        </w:tc>
        <w:tc>
          <w:tcPr>
            <w:tcW w:w="22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33.6</w:t>
            </w:r>
          </w:p>
        </w:tc>
      </w:tr>
      <w:tr>
        <w:trPr>
          <w:trHeight w:val="216"/>
        </w:trPr>
        <w:tc>
          <w:tcPr>
            <w:tcW w:w="4860" w:type="dxa"/>
            <w:vAlign w:val="bottom"/>
            <w:gridSpan w:val="2"/>
          </w:tcPr>
          <w:p>
            <w:pPr>
              <w:spacing w:after="0"/>
              <w:rPr>
                <w:sz w:val="20"/>
                <w:szCs w:val="20"/>
                <w:color w:val="auto"/>
              </w:rPr>
            </w:pPr>
            <w:r>
              <w:rPr>
                <w:rFonts w:ascii="Arial" w:cs="Arial" w:eastAsia="Arial" w:hAnsi="Arial"/>
                <w:sz w:val="18"/>
                <w:szCs w:val="18"/>
                <w:color w:val="auto"/>
              </w:rPr>
              <w:t>Reversal (provision) for credit losses</w:t>
            </w:r>
          </w:p>
        </w:tc>
        <w:tc>
          <w:tcPr>
            <w:tcW w:w="220" w:type="dxa"/>
            <w:vAlign w:val="bottom"/>
          </w:tcPr>
          <w:p>
            <w:pPr>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60"/>
              <w:spacing w:after="0"/>
              <w:rPr>
                <w:sz w:val="20"/>
                <w:szCs w:val="20"/>
                <w:color w:val="auto"/>
              </w:rPr>
            </w:pPr>
            <w:r>
              <w:rPr>
                <w:rFonts w:ascii="Arial" w:cs="Arial" w:eastAsia="Arial" w:hAnsi="Arial"/>
                <w:sz w:val="18"/>
                <w:szCs w:val="18"/>
                <w:color w:val="auto"/>
              </w:rPr>
              <w:t>2.7</w:t>
            </w:r>
          </w:p>
        </w:tc>
        <w:tc>
          <w:tcPr>
            <w:tcW w:w="220" w:type="dxa"/>
            <w:vAlign w:val="bottom"/>
          </w:tcPr>
          <w:p>
            <w:pPr>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1.8)</w:t>
            </w:r>
          </w:p>
        </w:tc>
        <w:tc>
          <w:tcPr>
            <w:tcW w:w="220" w:type="dxa"/>
            <w:vAlign w:val="bottom"/>
          </w:tcPr>
          <w:p>
            <w:pPr>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2.6</w:t>
            </w:r>
          </w:p>
        </w:tc>
        <w:tc>
          <w:tcPr>
            <w:tcW w:w="220" w:type="dxa"/>
            <w:vAlign w:val="bottom"/>
          </w:tcPr>
          <w:p>
            <w:pPr>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0.1</w:t>
            </w:r>
          </w:p>
        </w:tc>
        <w:tc>
          <w:tcPr>
            <w:tcW w:w="220" w:type="dxa"/>
            <w:vAlign w:val="bottom"/>
          </w:tcPr>
          <w:p>
            <w:pPr>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0.8)</w:t>
            </w:r>
          </w:p>
        </w:tc>
      </w:tr>
      <w:tr>
        <w:trPr>
          <w:trHeight w:val="216"/>
        </w:trPr>
        <w:tc>
          <w:tcPr>
            <w:tcW w:w="486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Operating expenses</w:t>
            </w:r>
          </w:p>
        </w:tc>
        <w:tc>
          <w:tcPr>
            <w:tcW w:w="22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18.8)</w:t>
            </w:r>
          </w:p>
        </w:tc>
        <w:tc>
          <w:tcPr>
            <w:tcW w:w="22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20.4)</w:t>
            </w:r>
          </w:p>
        </w:tc>
        <w:tc>
          <w:tcPr>
            <w:tcW w:w="22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8.3)</w:t>
            </w:r>
          </w:p>
        </w:tc>
        <w:tc>
          <w:tcPr>
            <w:tcW w:w="22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10.5)</w:t>
            </w:r>
          </w:p>
        </w:tc>
        <w:tc>
          <w:tcPr>
            <w:tcW w:w="22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10.6)</w:t>
            </w:r>
          </w:p>
        </w:tc>
      </w:tr>
      <w:tr>
        <w:trPr>
          <w:trHeight w:val="216"/>
        </w:trPr>
        <w:tc>
          <w:tcPr>
            <w:tcW w:w="4860" w:type="dxa"/>
            <w:vAlign w:val="bottom"/>
            <w:gridSpan w:val="2"/>
          </w:tcPr>
          <w:p>
            <w:pPr>
              <w:spacing w:after="0"/>
              <w:rPr>
                <w:sz w:val="20"/>
                <w:szCs w:val="20"/>
                <w:color w:val="auto"/>
              </w:rPr>
            </w:pPr>
            <w:r>
              <w:rPr>
                <w:rFonts w:ascii="Arial" w:cs="Arial" w:eastAsia="Arial" w:hAnsi="Arial"/>
                <w:sz w:val="18"/>
                <w:szCs w:val="18"/>
                <w:color w:val="auto"/>
              </w:rPr>
              <w:t>Profit for the period</w:t>
            </w:r>
          </w:p>
        </w:tc>
        <w:tc>
          <w:tcPr>
            <w:tcW w:w="220" w:type="dxa"/>
            <w:vAlign w:val="bottom"/>
          </w:tcPr>
          <w:p>
            <w:pPr>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60"/>
              <w:spacing w:after="0"/>
              <w:rPr>
                <w:sz w:val="20"/>
                <w:szCs w:val="20"/>
                <w:color w:val="auto"/>
              </w:rPr>
            </w:pPr>
            <w:r>
              <w:rPr>
                <w:rFonts w:ascii="Arial" w:cs="Arial" w:eastAsia="Arial" w:hAnsi="Arial"/>
                <w:sz w:val="18"/>
                <w:szCs w:val="18"/>
                <w:color w:val="auto"/>
              </w:rPr>
              <w:t>32.4</w:t>
            </w:r>
          </w:p>
        </w:tc>
        <w:tc>
          <w:tcPr>
            <w:tcW w:w="220" w:type="dxa"/>
            <w:vAlign w:val="bottom"/>
          </w:tcPr>
          <w:p>
            <w:pPr>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60"/>
              <w:spacing w:after="0"/>
              <w:rPr>
                <w:sz w:val="20"/>
                <w:szCs w:val="20"/>
                <w:color w:val="auto"/>
              </w:rPr>
            </w:pPr>
            <w:r>
              <w:rPr>
                <w:rFonts w:ascii="Arial" w:cs="Arial" w:eastAsia="Arial" w:hAnsi="Arial"/>
                <w:sz w:val="18"/>
                <w:szCs w:val="18"/>
                <w:color w:val="auto"/>
              </w:rPr>
              <w:t>43.5</w:t>
            </w:r>
          </w:p>
        </w:tc>
        <w:tc>
          <w:tcPr>
            <w:tcW w:w="220" w:type="dxa"/>
            <w:vAlign w:val="bottom"/>
          </w:tcPr>
          <w:p>
            <w:pPr>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14.1</w:t>
            </w:r>
          </w:p>
        </w:tc>
        <w:tc>
          <w:tcPr>
            <w:tcW w:w="220" w:type="dxa"/>
            <w:vAlign w:val="bottom"/>
          </w:tcPr>
          <w:p>
            <w:pPr>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18.3</w:t>
            </w:r>
          </w:p>
        </w:tc>
        <w:tc>
          <w:tcPr>
            <w:tcW w:w="220" w:type="dxa"/>
            <w:vAlign w:val="bottom"/>
          </w:tcPr>
          <w:p>
            <w:pPr>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60"/>
              <w:spacing w:after="0"/>
              <w:rPr>
                <w:sz w:val="20"/>
                <w:szCs w:val="20"/>
                <w:color w:val="auto"/>
              </w:rPr>
            </w:pPr>
            <w:r>
              <w:rPr>
                <w:rFonts w:ascii="Arial" w:cs="Arial" w:eastAsia="Arial" w:hAnsi="Arial"/>
                <w:sz w:val="18"/>
                <w:szCs w:val="18"/>
                <w:color w:val="auto"/>
              </w:rPr>
              <w:t>22.3</w:t>
            </w:r>
          </w:p>
        </w:tc>
      </w:tr>
      <w:tr>
        <w:trPr>
          <w:trHeight w:val="216"/>
        </w:trPr>
        <w:tc>
          <w:tcPr>
            <w:tcW w:w="486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Profitability Ratios</w:t>
            </w:r>
          </w:p>
        </w:tc>
        <w:tc>
          <w:tcPr>
            <w:tcW w:w="22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56"/>
        </w:trPr>
        <w:tc>
          <w:tcPr>
            <w:tcW w:w="4860" w:type="dxa"/>
            <w:vAlign w:val="bottom"/>
            <w:gridSpan w:val="2"/>
          </w:tcPr>
          <w:p>
            <w:pPr>
              <w:spacing w:after="0" w:line="256" w:lineRule="exact"/>
              <w:rPr>
                <w:sz w:val="20"/>
                <w:szCs w:val="20"/>
                <w:color w:val="auto"/>
              </w:rPr>
            </w:pPr>
            <w:r>
              <w:rPr>
                <w:rFonts w:ascii="Arial" w:cs="Arial" w:eastAsia="Arial" w:hAnsi="Arial"/>
                <w:sz w:val="18"/>
                <w:szCs w:val="18"/>
                <w:color w:val="auto"/>
              </w:rPr>
              <w:t xml:space="preserve">Earnings per Share ("EPS") </w:t>
            </w:r>
            <w:r>
              <w:rPr>
                <w:rFonts w:ascii="Arial" w:cs="Arial" w:eastAsia="Arial" w:hAnsi="Arial"/>
                <w:sz w:val="29"/>
                <w:szCs w:val="29"/>
                <w:color w:val="auto"/>
                <w:vertAlign w:val="superscript"/>
              </w:rPr>
              <w:t>(1)</w:t>
            </w:r>
          </w:p>
        </w:tc>
        <w:tc>
          <w:tcPr>
            <w:tcW w:w="220" w:type="dxa"/>
            <w:vAlign w:val="bottom"/>
          </w:tcPr>
          <w:p>
            <w:pPr>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60"/>
              <w:spacing w:after="0"/>
              <w:rPr>
                <w:sz w:val="20"/>
                <w:szCs w:val="20"/>
                <w:color w:val="auto"/>
              </w:rPr>
            </w:pPr>
            <w:r>
              <w:rPr>
                <w:rFonts w:ascii="Arial" w:cs="Arial" w:eastAsia="Arial" w:hAnsi="Arial"/>
                <w:sz w:val="18"/>
                <w:szCs w:val="18"/>
                <w:color w:val="auto"/>
              </w:rPr>
              <w:t>0.82</w:t>
            </w:r>
          </w:p>
        </w:tc>
        <w:tc>
          <w:tcPr>
            <w:tcW w:w="220" w:type="dxa"/>
            <w:vAlign w:val="bottom"/>
          </w:tcPr>
          <w:p>
            <w:pPr>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60"/>
              <w:spacing w:after="0"/>
              <w:rPr>
                <w:sz w:val="20"/>
                <w:szCs w:val="20"/>
                <w:color w:val="auto"/>
              </w:rPr>
            </w:pPr>
            <w:r>
              <w:rPr>
                <w:rFonts w:ascii="Arial" w:cs="Arial" w:eastAsia="Arial" w:hAnsi="Arial"/>
                <w:sz w:val="18"/>
                <w:szCs w:val="18"/>
                <w:color w:val="auto"/>
              </w:rPr>
              <w:t>1.10</w:t>
            </w:r>
          </w:p>
        </w:tc>
        <w:tc>
          <w:tcPr>
            <w:tcW w:w="220" w:type="dxa"/>
            <w:vAlign w:val="bottom"/>
          </w:tcPr>
          <w:p>
            <w:pPr>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0.36</w:t>
            </w:r>
          </w:p>
        </w:tc>
        <w:tc>
          <w:tcPr>
            <w:tcW w:w="220" w:type="dxa"/>
            <w:vAlign w:val="bottom"/>
          </w:tcPr>
          <w:p>
            <w:pPr>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0.46</w:t>
            </w:r>
          </w:p>
        </w:tc>
        <w:tc>
          <w:tcPr>
            <w:tcW w:w="220" w:type="dxa"/>
            <w:vAlign w:val="bottom"/>
          </w:tcPr>
          <w:p>
            <w:pPr>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160"/>
              <w:spacing w:after="0"/>
              <w:rPr>
                <w:sz w:val="20"/>
                <w:szCs w:val="20"/>
                <w:color w:val="auto"/>
              </w:rPr>
            </w:pPr>
            <w:r>
              <w:rPr>
                <w:rFonts w:ascii="Arial" w:cs="Arial" w:eastAsia="Arial" w:hAnsi="Arial"/>
                <w:sz w:val="18"/>
                <w:szCs w:val="18"/>
                <w:color w:val="auto"/>
              </w:rPr>
              <w:t>0.56</w:t>
            </w:r>
          </w:p>
        </w:tc>
      </w:tr>
      <w:tr>
        <w:trPr>
          <w:trHeight w:val="257"/>
        </w:trPr>
        <w:tc>
          <w:tcPr>
            <w:tcW w:w="486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Return on Average Equity (“ROAE”) </w:t>
            </w:r>
            <w:r>
              <w:rPr>
                <w:rFonts w:ascii="Arial" w:cs="Arial" w:eastAsia="Arial" w:hAnsi="Arial"/>
                <w:sz w:val="29"/>
                <w:szCs w:val="29"/>
                <w:color w:val="auto"/>
                <w:vertAlign w:val="superscript"/>
              </w:rPr>
              <w:t>(2)</w:t>
            </w:r>
          </w:p>
        </w:tc>
        <w:tc>
          <w:tcPr>
            <w:tcW w:w="22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6.4%</w:t>
            </w:r>
          </w:p>
        </w:tc>
        <w:tc>
          <w:tcPr>
            <w:tcW w:w="22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8.8%</w:t>
            </w:r>
          </w:p>
        </w:tc>
        <w:tc>
          <w:tcPr>
            <w:tcW w:w="22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5.5%</w:t>
            </w:r>
          </w:p>
        </w:tc>
        <w:tc>
          <w:tcPr>
            <w:tcW w:w="22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7.2%</w:t>
            </w:r>
          </w:p>
        </w:tc>
        <w:tc>
          <w:tcPr>
            <w:tcW w:w="22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9.0%</w:t>
            </w:r>
          </w:p>
        </w:tc>
      </w:tr>
      <w:tr>
        <w:trPr>
          <w:trHeight w:val="216"/>
        </w:trPr>
        <w:tc>
          <w:tcPr>
            <w:tcW w:w="4860" w:type="dxa"/>
            <w:vAlign w:val="bottom"/>
            <w:gridSpan w:val="2"/>
          </w:tcPr>
          <w:p>
            <w:pPr>
              <w:spacing w:after="0"/>
              <w:rPr>
                <w:sz w:val="20"/>
                <w:szCs w:val="20"/>
                <w:color w:val="auto"/>
              </w:rPr>
            </w:pPr>
            <w:r>
              <w:rPr>
                <w:rFonts w:ascii="Arial" w:cs="Arial" w:eastAsia="Arial" w:hAnsi="Arial"/>
                <w:sz w:val="18"/>
                <w:szCs w:val="18"/>
                <w:color w:val="auto"/>
              </w:rPr>
              <w:t>Return on Average Assets (“ROAA”)</w:t>
            </w:r>
          </w:p>
        </w:tc>
        <w:tc>
          <w:tcPr>
            <w:tcW w:w="220" w:type="dxa"/>
            <w:vAlign w:val="bottom"/>
          </w:tcPr>
          <w:p>
            <w:pPr>
              <w:spacing w:after="0"/>
              <w:rPr>
                <w:sz w:val="18"/>
                <w:szCs w:val="18"/>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0.97%</w:t>
            </w:r>
          </w:p>
        </w:tc>
        <w:tc>
          <w:tcPr>
            <w:tcW w:w="220" w:type="dxa"/>
            <w:vAlign w:val="bottom"/>
          </w:tcPr>
          <w:p>
            <w:pPr>
              <w:spacing w:after="0"/>
              <w:rPr>
                <w:sz w:val="18"/>
                <w:szCs w:val="18"/>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1.37%</w:t>
            </w:r>
          </w:p>
        </w:tc>
        <w:tc>
          <w:tcPr>
            <w:tcW w:w="220" w:type="dxa"/>
            <w:vAlign w:val="bottom"/>
          </w:tcPr>
          <w:p>
            <w:pPr>
              <w:spacing w:after="0"/>
              <w:rPr>
                <w:sz w:val="18"/>
                <w:szCs w:val="18"/>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0.83%</w:t>
            </w:r>
          </w:p>
        </w:tc>
        <w:tc>
          <w:tcPr>
            <w:tcW w:w="220" w:type="dxa"/>
            <w:vAlign w:val="bottom"/>
          </w:tcPr>
          <w:p>
            <w:pPr>
              <w:spacing w:after="0"/>
              <w:rPr>
                <w:sz w:val="18"/>
                <w:szCs w:val="18"/>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1.12%</w:t>
            </w:r>
          </w:p>
        </w:tc>
        <w:tc>
          <w:tcPr>
            <w:tcW w:w="220" w:type="dxa"/>
            <w:vAlign w:val="bottom"/>
          </w:tcPr>
          <w:p>
            <w:pPr>
              <w:spacing w:after="0"/>
              <w:rPr>
                <w:sz w:val="18"/>
                <w:szCs w:val="18"/>
                <w:color w:val="auto"/>
              </w:rPr>
            </w:pP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1.43%</w:t>
            </w:r>
          </w:p>
        </w:tc>
      </w:tr>
      <w:tr>
        <w:trPr>
          <w:trHeight w:val="256"/>
        </w:trPr>
        <w:tc>
          <w:tcPr>
            <w:tcW w:w="4860" w:type="dxa"/>
            <w:vAlign w:val="bottom"/>
            <w:gridSpan w:val="2"/>
            <w:shd w:val="clear" w:color="auto" w:fill="CCEEFF"/>
          </w:tcPr>
          <w:p>
            <w:pPr>
              <w:spacing w:after="0" w:line="256" w:lineRule="exact"/>
              <w:rPr>
                <w:sz w:val="20"/>
                <w:szCs w:val="20"/>
                <w:color w:val="auto"/>
              </w:rPr>
            </w:pPr>
            <w:r>
              <w:rPr>
                <w:rFonts w:ascii="Arial" w:cs="Arial" w:eastAsia="Arial" w:hAnsi="Arial"/>
                <w:sz w:val="18"/>
                <w:szCs w:val="18"/>
                <w:color w:val="auto"/>
              </w:rPr>
              <w:t xml:space="preserve">Net Interest Margin ("NIM") </w:t>
            </w:r>
            <w:r>
              <w:rPr>
                <w:rFonts w:ascii="Arial" w:cs="Arial" w:eastAsia="Arial" w:hAnsi="Arial"/>
                <w:sz w:val="29"/>
                <w:szCs w:val="29"/>
                <w:color w:val="auto"/>
                <w:vertAlign w:val="superscript"/>
              </w:rPr>
              <w:t>(3)</w:t>
            </w:r>
          </w:p>
        </w:tc>
        <w:tc>
          <w:tcPr>
            <w:tcW w:w="22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1.43%</w:t>
            </w:r>
          </w:p>
        </w:tc>
        <w:tc>
          <w:tcPr>
            <w:tcW w:w="22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1.77%</w:t>
            </w:r>
          </w:p>
        </w:tc>
        <w:tc>
          <w:tcPr>
            <w:tcW w:w="22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1.28%</w:t>
            </w:r>
          </w:p>
        </w:tc>
        <w:tc>
          <w:tcPr>
            <w:tcW w:w="22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1.59%</w:t>
            </w:r>
          </w:p>
        </w:tc>
        <w:tc>
          <w:tcPr>
            <w:tcW w:w="22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1.81%</w:t>
            </w:r>
          </w:p>
        </w:tc>
      </w:tr>
    </w:tbl>
    <w:p>
      <w:pPr>
        <w:sectPr>
          <w:pgSz w:w="11900" w:h="16850" w:orient="portrait"/>
          <w:cols w:equalWidth="0" w:num="1">
            <w:col w:w="11240"/>
          </w:cols>
          <w:pgMar w:left="320" w:top="1440" w:right="339" w:bottom="0" w:gutter="0" w:footer="0" w:header="0"/>
        </w:sectPr>
      </w:pPr>
    </w:p>
    <w:bookmarkStart w:id="3" w:name="page4"/>
    <w:bookmarkEnd w:id="3"/>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333"/>
        </w:trPr>
        <w:tc>
          <w:tcPr>
            <w:tcW w:w="4680" w:type="dxa"/>
            <w:vAlign w:val="bottom"/>
          </w:tcPr>
          <w:p>
            <w:pPr>
              <w:spacing w:after="0"/>
              <w:rPr>
                <w:sz w:val="20"/>
                <w:szCs w:val="20"/>
                <w:color w:val="auto"/>
              </w:rPr>
            </w:pPr>
            <w:r>
              <w:rPr>
                <w:rFonts w:ascii="Arial" w:cs="Arial" w:eastAsia="Arial" w:hAnsi="Arial"/>
                <w:sz w:val="18"/>
                <w:szCs w:val="18"/>
                <w:color w:val="auto"/>
              </w:rPr>
              <w:t xml:space="preserve">Net Interest Spread ("NIS") </w:t>
            </w:r>
            <w:r>
              <w:rPr>
                <w:rFonts w:ascii="Arial" w:cs="Arial" w:eastAsia="Arial" w:hAnsi="Arial"/>
                <w:sz w:val="29"/>
                <w:szCs w:val="29"/>
                <w:color w:val="auto"/>
                <w:vertAlign w:val="superscript"/>
              </w:rPr>
              <w:t>(4)</w:t>
            </w:r>
          </w:p>
        </w:tc>
        <w:tc>
          <w:tcPr>
            <w:tcW w:w="540" w:type="dxa"/>
            <w:vAlign w:val="bottom"/>
          </w:tcPr>
          <w:p>
            <w:pPr>
              <w:spacing w:after="0"/>
              <w:rPr>
                <w:sz w:val="24"/>
                <w:szCs w:val="24"/>
                <w:color w:val="auto"/>
              </w:rPr>
            </w:pPr>
          </w:p>
        </w:tc>
        <w:tc>
          <w:tcPr>
            <w:tcW w:w="880" w:type="dxa"/>
            <w:vAlign w:val="bottom"/>
          </w:tcPr>
          <w:p>
            <w:pPr>
              <w:jc w:val="right"/>
              <w:spacing w:after="0"/>
              <w:rPr>
                <w:sz w:val="20"/>
                <w:szCs w:val="20"/>
                <w:color w:val="auto"/>
              </w:rPr>
            </w:pPr>
            <w:r>
              <w:rPr>
                <w:rFonts w:ascii="Arial" w:cs="Arial" w:eastAsia="Arial" w:hAnsi="Arial"/>
                <w:sz w:val="18"/>
                <w:szCs w:val="18"/>
                <w:color w:val="auto"/>
              </w:rPr>
              <w:t>1.09%</w:t>
            </w:r>
          </w:p>
        </w:tc>
        <w:tc>
          <w:tcPr>
            <w:tcW w:w="420" w:type="dxa"/>
            <w:vAlign w:val="bottom"/>
          </w:tcPr>
          <w:p>
            <w:pPr>
              <w:spacing w:after="0"/>
              <w:rPr>
                <w:sz w:val="24"/>
                <w:szCs w:val="24"/>
                <w:color w:val="auto"/>
              </w:rPr>
            </w:pPr>
          </w:p>
        </w:tc>
        <w:tc>
          <w:tcPr>
            <w:tcW w:w="880" w:type="dxa"/>
            <w:vAlign w:val="bottom"/>
          </w:tcPr>
          <w:p>
            <w:pPr>
              <w:jc w:val="right"/>
              <w:spacing w:after="0"/>
              <w:rPr>
                <w:sz w:val="20"/>
                <w:szCs w:val="20"/>
                <w:color w:val="auto"/>
              </w:rPr>
            </w:pPr>
            <w:r>
              <w:rPr>
                <w:rFonts w:ascii="Arial" w:cs="Arial" w:eastAsia="Arial" w:hAnsi="Arial"/>
                <w:sz w:val="18"/>
                <w:szCs w:val="18"/>
                <w:color w:val="auto"/>
              </w:rPr>
              <w:t>1.19%</w:t>
            </w:r>
          </w:p>
        </w:tc>
        <w:tc>
          <w:tcPr>
            <w:tcW w:w="420" w:type="dxa"/>
            <w:vAlign w:val="bottom"/>
          </w:tcPr>
          <w:p>
            <w:pPr>
              <w:spacing w:after="0"/>
              <w:rPr>
                <w:sz w:val="24"/>
                <w:szCs w:val="24"/>
                <w:color w:val="auto"/>
              </w:rPr>
            </w:pPr>
          </w:p>
        </w:tc>
        <w:tc>
          <w:tcPr>
            <w:tcW w:w="880" w:type="dxa"/>
            <w:vAlign w:val="bottom"/>
          </w:tcPr>
          <w:p>
            <w:pPr>
              <w:jc w:val="right"/>
              <w:spacing w:after="0"/>
              <w:rPr>
                <w:sz w:val="20"/>
                <w:szCs w:val="20"/>
                <w:color w:val="auto"/>
              </w:rPr>
            </w:pPr>
            <w:r>
              <w:rPr>
                <w:rFonts w:ascii="Arial" w:cs="Arial" w:eastAsia="Arial" w:hAnsi="Arial"/>
                <w:sz w:val="18"/>
                <w:szCs w:val="18"/>
                <w:color w:val="auto"/>
              </w:rPr>
              <w:t>1.01%</w:t>
            </w:r>
          </w:p>
        </w:tc>
        <w:tc>
          <w:tcPr>
            <w:tcW w:w="420" w:type="dxa"/>
            <w:vAlign w:val="bottom"/>
          </w:tcPr>
          <w:p>
            <w:pPr>
              <w:spacing w:after="0"/>
              <w:rPr>
                <w:sz w:val="24"/>
                <w:szCs w:val="24"/>
                <w:color w:val="auto"/>
              </w:rPr>
            </w:pPr>
          </w:p>
        </w:tc>
        <w:tc>
          <w:tcPr>
            <w:tcW w:w="880" w:type="dxa"/>
            <w:vAlign w:val="bottom"/>
          </w:tcPr>
          <w:p>
            <w:pPr>
              <w:jc w:val="right"/>
              <w:spacing w:after="0"/>
              <w:rPr>
                <w:sz w:val="20"/>
                <w:szCs w:val="20"/>
                <w:color w:val="auto"/>
              </w:rPr>
            </w:pPr>
            <w:r>
              <w:rPr>
                <w:rFonts w:ascii="Arial" w:cs="Arial" w:eastAsia="Arial" w:hAnsi="Arial"/>
                <w:sz w:val="18"/>
                <w:szCs w:val="18"/>
                <w:color w:val="auto"/>
              </w:rPr>
              <w:t>1.17%</w:t>
            </w:r>
          </w:p>
        </w:tc>
        <w:tc>
          <w:tcPr>
            <w:tcW w:w="400" w:type="dxa"/>
            <w:vAlign w:val="bottom"/>
          </w:tcPr>
          <w:p>
            <w:pPr>
              <w:spacing w:after="0"/>
              <w:rPr>
                <w:sz w:val="24"/>
                <w:szCs w:val="24"/>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1.22%</w:t>
            </w:r>
          </w:p>
        </w:tc>
      </w:tr>
      <w:tr>
        <w:trPr>
          <w:trHeight w:val="257"/>
        </w:trPr>
        <w:tc>
          <w:tcPr>
            <w:tcW w:w="468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Efficiency Ratio </w:t>
            </w:r>
            <w:r>
              <w:rPr>
                <w:rFonts w:ascii="Arial" w:cs="Arial" w:eastAsia="Arial" w:hAnsi="Arial"/>
                <w:sz w:val="29"/>
                <w:szCs w:val="29"/>
                <w:color w:val="auto"/>
                <w:vertAlign w:val="superscript"/>
              </w:rPr>
              <w:t>(5)</w:t>
            </w:r>
          </w:p>
        </w:tc>
        <w:tc>
          <w:tcPr>
            <w:tcW w:w="540" w:type="dxa"/>
            <w:vAlign w:val="bottom"/>
            <w:shd w:val="clear" w:color="auto" w:fill="CCEEFF"/>
          </w:tcPr>
          <w:p>
            <w:pPr>
              <w:spacing w:after="0"/>
              <w:rPr>
                <w:sz w:val="22"/>
                <w:szCs w:val="22"/>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38.7%</w:t>
            </w:r>
          </w:p>
        </w:tc>
        <w:tc>
          <w:tcPr>
            <w:tcW w:w="420" w:type="dxa"/>
            <w:vAlign w:val="bottom"/>
            <w:shd w:val="clear" w:color="auto" w:fill="CCEEFF"/>
          </w:tcPr>
          <w:p>
            <w:pPr>
              <w:spacing w:after="0"/>
              <w:rPr>
                <w:sz w:val="22"/>
                <w:szCs w:val="22"/>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31.1%</w:t>
            </w:r>
          </w:p>
        </w:tc>
        <w:tc>
          <w:tcPr>
            <w:tcW w:w="420" w:type="dxa"/>
            <w:vAlign w:val="bottom"/>
            <w:shd w:val="clear" w:color="auto" w:fill="CCEEFF"/>
          </w:tcPr>
          <w:p>
            <w:pPr>
              <w:spacing w:after="0"/>
              <w:rPr>
                <w:sz w:val="22"/>
                <w:szCs w:val="22"/>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41.5%</w:t>
            </w:r>
          </w:p>
        </w:tc>
        <w:tc>
          <w:tcPr>
            <w:tcW w:w="420" w:type="dxa"/>
            <w:vAlign w:val="bottom"/>
            <w:shd w:val="clear" w:color="auto" w:fill="CCEEFF"/>
          </w:tcPr>
          <w:p>
            <w:pPr>
              <w:spacing w:after="0"/>
              <w:rPr>
                <w:sz w:val="22"/>
                <w:szCs w:val="22"/>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36.7%</w:t>
            </w:r>
          </w:p>
        </w:tc>
        <w:tc>
          <w:tcPr>
            <w:tcW w:w="400" w:type="dxa"/>
            <w:vAlign w:val="bottom"/>
            <w:shd w:val="clear" w:color="auto" w:fill="CCEEFF"/>
          </w:tcPr>
          <w:p>
            <w:pPr>
              <w:spacing w:after="0"/>
              <w:rPr>
                <w:sz w:val="22"/>
                <w:szCs w:val="22"/>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31.4%</w:t>
            </w:r>
          </w:p>
        </w:tc>
      </w:tr>
      <w:tr>
        <w:trPr>
          <w:trHeight w:val="216"/>
        </w:trPr>
        <w:tc>
          <w:tcPr>
            <w:tcW w:w="4680" w:type="dxa"/>
            <w:vAlign w:val="bottom"/>
          </w:tcPr>
          <w:p>
            <w:pPr>
              <w:spacing w:after="0"/>
              <w:rPr>
                <w:sz w:val="20"/>
                <w:szCs w:val="20"/>
                <w:color w:val="auto"/>
              </w:rPr>
            </w:pPr>
            <w:r>
              <w:rPr>
                <w:rFonts w:ascii="Arial" w:cs="Arial" w:eastAsia="Arial" w:hAnsi="Arial"/>
                <w:sz w:val="18"/>
                <w:szCs w:val="18"/>
                <w:b w:val="1"/>
                <w:bCs w:val="1"/>
                <w:color w:val="auto"/>
              </w:rPr>
              <w:t>Assets, Capital, Liquidity &amp; Credit Quality</w:t>
            </w:r>
          </w:p>
        </w:tc>
        <w:tc>
          <w:tcPr>
            <w:tcW w:w="54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840" w:type="dxa"/>
            <w:vAlign w:val="bottom"/>
          </w:tcPr>
          <w:p>
            <w:pPr>
              <w:spacing w:after="0"/>
              <w:rPr>
                <w:sz w:val="18"/>
                <w:szCs w:val="18"/>
                <w:color w:val="auto"/>
              </w:rPr>
            </w:pPr>
          </w:p>
        </w:tc>
      </w:tr>
      <w:tr>
        <w:trPr>
          <w:trHeight w:val="257"/>
        </w:trPr>
        <w:tc>
          <w:tcPr>
            <w:tcW w:w="468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Credit Portfolio </w:t>
            </w:r>
            <w:r>
              <w:rPr>
                <w:rFonts w:ascii="Arial" w:cs="Arial" w:eastAsia="Arial" w:hAnsi="Arial"/>
                <w:sz w:val="29"/>
                <w:szCs w:val="29"/>
                <w:color w:val="auto"/>
                <w:vertAlign w:val="superscript"/>
              </w:rPr>
              <w:t>(6)</w:t>
            </w:r>
          </w:p>
        </w:tc>
        <w:tc>
          <w:tcPr>
            <w:tcW w:w="540" w:type="dxa"/>
            <w:vAlign w:val="bottom"/>
            <w:shd w:val="clear" w:color="auto" w:fill="CCEEFF"/>
          </w:tcPr>
          <w:p>
            <w:pPr>
              <w:jc w:val="right"/>
              <w:ind w:right="170"/>
              <w:spacing w:after="0"/>
              <w:rPr>
                <w:sz w:val="20"/>
                <w:szCs w:val="20"/>
                <w:color w:val="auto"/>
              </w:rPr>
            </w:pPr>
            <w:r>
              <w:rPr>
                <w:rFonts w:ascii="Arial" w:cs="Arial" w:eastAsia="Arial" w:hAnsi="Arial"/>
                <w:sz w:val="18"/>
                <w:szCs w:val="18"/>
                <w:color w:val="auto"/>
              </w:rPr>
              <w:t>$</w:t>
            </w:r>
          </w:p>
        </w:tc>
        <w:tc>
          <w:tcPr>
            <w:tcW w:w="880" w:type="dxa"/>
            <w:vAlign w:val="bottom"/>
            <w:shd w:val="clear" w:color="auto" w:fill="CCEEFF"/>
          </w:tcPr>
          <w:p>
            <w:pPr>
              <w:jc w:val="right"/>
              <w:ind w:right="110"/>
              <w:spacing w:after="0"/>
              <w:rPr>
                <w:sz w:val="20"/>
                <w:szCs w:val="20"/>
                <w:color w:val="auto"/>
              </w:rPr>
            </w:pPr>
            <w:r>
              <w:rPr>
                <w:rFonts w:ascii="Arial" w:cs="Arial" w:eastAsia="Arial" w:hAnsi="Arial"/>
                <w:sz w:val="18"/>
                <w:szCs w:val="18"/>
                <w:color w:val="auto"/>
              </w:rPr>
              <w:t>5,011</w:t>
            </w:r>
          </w:p>
        </w:tc>
        <w:tc>
          <w:tcPr>
            <w:tcW w:w="420" w:type="dxa"/>
            <w:vAlign w:val="bottom"/>
            <w:shd w:val="clear" w:color="auto" w:fill="CCEEFF"/>
          </w:tcPr>
          <w:p>
            <w:pPr>
              <w:jc w:val="right"/>
              <w:ind w:right="170"/>
              <w:spacing w:after="0"/>
              <w:rPr>
                <w:sz w:val="20"/>
                <w:szCs w:val="20"/>
                <w:color w:val="auto"/>
              </w:rPr>
            </w:pPr>
            <w:r>
              <w:rPr>
                <w:rFonts w:ascii="Arial" w:cs="Arial" w:eastAsia="Arial" w:hAnsi="Arial"/>
                <w:sz w:val="18"/>
                <w:szCs w:val="18"/>
                <w:color w:val="auto"/>
              </w:rPr>
              <w:t>$</w:t>
            </w:r>
          </w:p>
        </w:tc>
        <w:tc>
          <w:tcPr>
            <w:tcW w:w="880" w:type="dxa"/>
            <w:vAlign w:val="bottom"/>
            <w:shd w:val="clear" w:color="auto" w:fill="CCEEFF"/>
          </w:tcPr>
          <w:p>
            <w:pPr>
              <w:jc w:val="right"/>
              <w:ind w:right="110"/>
              <w:spacing w:after="0"/>
              <w:rPr>
                <w:sz w:val="20"/>
                <w:szCs w:val="20"/>
                <w:color w:val="auto"/>
              </w:rPr>
            </w:pPr>
            <w:r>
              <w:rPr>
                <w:rFonts w:ascii="Arial" w:cs="Arial" w:eastAsia="Arial" w:hAnsi="Arial"/>
                <w:sz w:val="18"/>
                <w:szCs w:val="18"/>
                <w:color w:val="auto"/>
              </w:rPr>
              <w:t>6,297</w:t>
            </w:r>
          </w:p>
        </w:tc>
        <w:tc>
          <w:tcPr>
            <w:tcW w:w="420" w:type="dxa"/>
            <w:vAlign w:val="bottom"/>
            <w:shd w:val="clear" w:color="auto" w:fill="CCEEFF"/>
          </w:tcPr>
          <w:p>
            <w:pPr>
              <w:jc w:val="right"/>
              <w:ind w:right="170"/>
              <w:spacing w:after="0"/>
              <w:rPr>
                <w:sz w:val="20"/>
                <w:szCs w:val="20"/>
                <w:color w:val="auto"/>
              </w:rPr>
            </w:pPr>
            <w:r>
              <w:rPr>
                <w:rFonts w:ascii="Arial" w:cs="Arial" w:eastAsia="Arial" w:hAnsi="Arial"/>
                <w:sz w:val="18"/>
                <w:szCs w:val="18"/>
                <w:color w:val="auto"/>
              </w:rPr>
              <w:t>$</w:t>
            </w:r>
          </w:p>
        </w:tc>
        <w:tc>
          <w:tcPr>
            <w:tcW w:w="88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rPr>
              <w:t>5,011</w:t>
            </w:r>
          </w:p>
        </w:tc>
        <w:tc>
          <w:tcPr>
            <w:tcW w:w="420" w:type="dxa"/>
            <w:vAlign w:val="bottom"/>
            <w:shd w:val="clear" w:color="auto" w:fill="CCEEFF"/>
          </w:tcPr>
          <w:p>
            <w:pPr>
              <w:jc w:val="right"/>
              <w:ind w:right="190"/>
              <w:spacing w:after="0"/>
              <w:rPr>
                <w:sz w:val="20"/>
                <w:szCs w:val="20"/>
                <w:color w:val="auto"/>
              </w:rPr>
            </w:pPr>
            <w:r>
              <w:rPr>
                <w:rFonts w:ascii="Arial" w:cs="Arial" w:eastAsia="Arial" w:hAnsi="Arial"/>
                <w:sz w:val="18"/>
                <w:szCs w:val="18"/>
                <w:color w:val="auto"/>
              </w:rPr>
              <w:t>$</w:t>
            </w:r>
          </w:p>
        </w:tc>
        <w:tc>
          <w:tcPr>
            <w:tcW w:w="88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rPr>
              <w:t>5,911</w:t>
            </w:r>
          </w:p>
        </w:tc>
        <w:tc>
          <w:tcPr>
            <w:tcW w:w="400" w:type="dxa"/>
            <w:vAlign w:val="bottom"/>
            <w:shd w:val="clear" w:color="auto" w:fill="CCEEFF"/>
          </w:tcPr>
          <w:p>
            <w:pPr>
              <w:jc w:val="right"/>
              <w:ind w:right="170"/>
              <w:spacing w:after="0"/>
              <w:rPr>
                <w:sz w:val="20"/>
                <w:szCs w:val="20"/>
                <w:color w:val="auto"/>
              </w:rPr>
            </w:pPr>
            <w:r>
              <w:rPr>
                <w:rFonts w:ascii="Arial" w:cs="Arial" w:eastAsia="Arial" w:hAnsi="Arial"/>
                <w:sz w:val="18"/>
                <w:szCs w:val="18"/>
                <w:color w:val="auto"/>
              </w:rPr>
              <w:t>$</w:t>
            </w:r>
          </w:p>
        </w:tc>
        <w:tc>
          <w:tcPr>
            <w:tcW w:w="84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rPr>
              <w:t>6,297</w:t>
            </w:r>
          </w:p>
        </w:tc>
      </w:tr>
      <w:tr>
        <w:trPr>
          <w:trHeight w:val="257"/>
        </w:trPr>
        <w:tc>
          <w:tcPr>
            <w:tcW w:w="4680" w:type="dxa"/>
            <w:vAlign w:val="bottom"/>
          </w:tcPr>
          <w:p>
            <w:pPr>
              <w:spacing w:after="0" w:line="256" w:lineRule="exact"/>
              <w:rPr>
                <w:sz w:val="20"/>
                <w:szCs w:val="20"/>
                <w:color w:val="auto"/>
              </w:rPr>
            </w:pPr>
            <w:r>
              <w:rPr>
                <w:rFonts w:ascii="Arial" w:cs="Arial" w:eastAsia="Arial" w:hAnsi="Arial"/>
                <w:sz w:val="18"/>
                <w:szCs w:val="18"/>
                <w:color w:val="auto"/>
              </w:rPr>
              <w:t xml:space="preserve">Commercial Portfolio </w:t>
            </w:r>
            <w:r>
              <w:rPr>
                <w:rFonts w:ascii="Arial" w:cs="Arial" w:eastAsia="Arial" w:hAnsi="Arial"/>
                <w:sz w:val="29"/>
                <w:szCs w:val="29"/>
                <w:color w:val="auto"/>
                <w:vertAlign w:val="superscript"/>
              </w:rPr>
              <w:t>(7)</w:t>
            </w:r>
          </w:p>
        </w:tc>
        <w:tc>
          <w:tcPr>
            <w:tcW w:w="540" w:type="dxa"/>
            <w:vAlign w:val="bottom"/>
          </w:tcPr>
          <w:p>
            <w:pPr>
              <w:jc w:val="right"/>
              <w:ind w:right="170"/>
              <w:spacing w:after="0"/>
              <w:rPr>
                <w:sz w:val="20"/>
                <w:szCs w:val="20"/>
                <w:color w:val="auto"/>
              </w:rPr>
            </w:pPr>
            <w:r>
              <w:rPr>
                <w:rFonts w:ascii="Arial" w:cs="Arial" w:eastAsia="Arial" w:hAnsi="Arial"/>
                <w:sz w:val="18"/>
                <w:szCs w:val="18"/>
                <w:color w:val="auto"/>
              </w:rPr>
              <w:t>$</w:t>
            </w:r>
          </w:p>
        </w:tc>
        <w:tc>
          <w:tcPr>
            <w:tcW w:w="880" w:type="dxa"/>
            <w:vAlign w:val="bottom"/>
          </w:tcPr>
          <w:p>
            <w:pPr>
              <w:jc w:val="right"/>
              <w:ind w:right="110"/>
              <w:spacing w:after="0"/>
              <w:rPr>
                <w:sz w:val="20"/>
                <w:szCs w:val="20"/>
                <w:color w:val="auto"/>
              </w:rPr>
            </w:pPr>
            <w:r>
              <w:rPr>
                <w:rFonts w:ascii="Arial" w:cs="Arial" w:eastAsia="Arial" w:hAnsi="Arial"/>
                <w:sz w:val="18"/>
                <w:szCs w:val="18"/>
                <w:color w:val="auto"/>
              </w:rPr>
              <w:t>4,915</w:t>
            </w:r>
          </w:p>
        </w:tc>
        <w:tc>
          <w:tcPr>
            <w:tcW w:w="420" w:type="dxa"/>
            <w:vAlign w:val="bottom"/>
          </w:tcPr>
          <w:p>
            <w:pPr>
              <w:jc w:val="right"/>
              <w:ind w:right="170"/>
              <w:spacing w:after="0"/>
              <w:rPr>
                <w:sz w:val="20"/>
                <w:szCs w:val="20"/>
                <w:color w:val="auto"/>
              </w:rPr>
            </w:pPr>
            <w:r>
              <w:rPr>
                <w:rFonts w:ascii="Arial" w:cs="Arial" w:eastAsia="Arial" w:hAnsi="Arial"/>
                <w:sz w:val="18"/>
                <w:szCs w:val="18"/>
                <w:color w:val="auto"/>
              </w:rPr>
              <w:t>$</w:t>
            </w:r>
          </w:p>
        </w:tc>
        <w:tc>
          <w:tcPr>
            <w:tcW w:w="880" w:type="dxa"/>
            <w:vAlign w:val="bottom"/>
          </w:tcPr>
          <w:p>
            <w:pPr>
              <w:jc w:val="right"/>
              <w:ind w:right="110"/>
              <w:spacing w:after="0"/>
              <w:rPr>
                <w:sz w:val="20"/>
                <w:szCs w:val="20"/>
                <w:color w:val="auto"/>
              </w:rPr>
            </w:pPr>
            <w:r>
              <w:rPr>
                <w:rFonts w:ascii="Arial" w:cs="Arial" w:eastAsia="Arial" w:hAnsi="Arial"/>
                <w:sz w:val="18"/>
                <w:szCs w:val="18"/>
                <w:color w:val="auto"/>
              </w:rPr>
              <w:t>6,209</w:t>
            </w:r>
          </w:p>
        </w:tc>
        <w:tc>
          <w:tcPr>
            <w:tcW w:w="420" w:type="dxa"/>
            <w:vAlign w:val="bottom"/>
          </w:tcPr>
          <w:p>
            <w:pPr>
              <w:jc w:val="right"/>
              <w:ind w:right="170"/>
              <w:spacing w:after="0"/>
              <w:rPr>
                <w:sz w:val="20"/>
                <w:szCs w:val="20"/>
                <w:color w:val="auto"/>
              </w:rPr>
            </w:pPr>
            <w:r>
              <w:rPr>
                <w:rFonts w:ascii="Arial" w:cs="Arial" w:eastAsia="Arial" w:hAnsi="Arial"/>
                <w:sz w:val="18"/>
                <w:szCs w:val="18"/>
                <w:color w:val="auto"/>
              </w:rPr>
              <w:t>$</w:t>
            </w:r>
          </w:p>
        </w:tc>
        <w:tc>
          <w:tcPr>
            <w:tcW w:w="880" w:type="dxa"/>
            <w:vAlign w:val="bottom"/>
          </w:tcPr>
          <w:p>
            <w:pPr>
              <w:jc w:val="right"/>
              <w:ind w:right="130"/>
              <w:spacing w:after="0"/>
              <w:rPr>
                <w:sz w:val="20"/>
                <w:szCs w:val="20"/>
                <w:color w:val="auto"/>
              </w:rPr>
            </w:pPr>
            <w:r>
              <w:rPr>
                <w:rFonts w:ascii="Arial" w:cs="Arial" w:eastAsia="Arial" w:hAnsi="Arial"/>
                <w:sz w:val="18"/>
                <w:szCs w:val="18"/>
                <w:color w:val="auto"/>
              </w:rPr>
              <w:t>4,915</w:t>
            </w:r>
          </w:p>
        </w:tc>
        <w:tc>
          <w:tcPr>
            <w:tcW w:w="420" w:type="dxa"/>
            <w:vAlign w:val="bottom"/>
          </w:tcPr>
          <w:p>
            <w:pPr>
              <w:jc w:val="right"/>
              <w:ind w:right="190"/>
              <w:spacing w:after="0"/>
              <w:rPr>
                <w:sz w:val="20"/>
                <w:szCs w:val="20"/>
                <w:color w:val="auto"/>
              </w:rPr>
            </w:pPr>
            <w:r>
              <w:rPr>
                <w:rFonts w:ascii="Arial" w:cs="Arial" w:eastAsia="Arial" w:hAnsi="Arial"/>
                <w:sz w:val="18"/>
                <w:szCs w:val="18"/>
                <w:color w:val="auto"/>
              </w:rPr>
              <w:t>$</w:t>
            </w:r>
          </w:p>
        </w:tc>
        <w:tc>
          <w:tcPr>
            <w:tcW w:w="880" w:type="dxa"/>
            <w:vAlign w:val="bottom"/>
          </w:tcPr>
          <w:p>
            <w:pPr>
              <w:jc w:val="right"/>
              <w:ind w:right="130"/>
              <w:spacing w:after="0"/>
              <w:rPr>
                <w:sz w:val="20"/>
                <w:szCs w:val="20"/>
                <w:color w:val="auto"/>
              </w:rPr>
            </w:pPr>
            <w:r>
              <w:rPr>
                <w:rFonts w:ascii="Arial" w:cs="Arial" w:eastAsia="Arial" w:hAnsi="Arial"/>
                <w:sz w:val="18"/>
                <w:szCs w:val="18"/>
                <w:color w:val="auto"/>
              </w:rPr>
              <w:t>5,832</w:t>
            </w:r>
          </w:p>
        </w:tc>
        <w:tc>
          <w:tcPr>
            <w:tcW w:w="400" w:type="dxa"/>
            <w:vAlign w:val="bottom"/>
          </w:tcPr>
          <w:p>
            <w:pPr>
              <w:jc w:val="right"/>
              <w:ind w:right="170"/>
              <w:spacing w:after="0"/>
              <w:rPr>
                <w:sz w:val="20"/>
                <w:szCs w:val="20"/>
                <w:color w:val="auto"/>
              </w:rPr>
            </w:pPr>
            <w:r>
              <w:rPr>
                <w:rFonts w:ascii="Arial" w:cs="Arial" w:eastAsia="Arial" w:hAnsi="Arial"/>
                <w:sz w:val="18"/>
                <w:szCs w:val="18"/>
                <w:color w:val="auto"/>
              </w:rPr>
              <w:t>$</w:t>
            </w:r>
          </w:p>
        </w:tc>
        <w:tc>
          <w:tcPr>
            <w:tcW w:w="840" w:type="dxa"/>
            <w:vAlign w:val="bottom"/>
          </w:tcPr>
          <w:p>
            <w:pPr>
              <w:jc w:val="right"/>
              <w:ind w:right="70"/>
              <w:spacing w:after="0"/>
              <w:rPr>
                <w:sz w:val="20"/>
                <w:szCs w:val="20"/>
                <w:color w:val="auto"/>
              </w:rPr>
            </w:pPr>
            <w:r>
              <w:rPr>
                <w:rFonts w:ascii="Arial" w:cs="Arial" w:eastAsia="Arial" w:hAnsi="Arial"/>
                <w:sz w:val="18"/>
                <w:szCs w:val="18"/>
                <w:color w:val="auto"/>
              </w:rPr>
              <w:t>6,209</w:t>
            </w:r>
          </w:p>
        </w:tc>
      </w:tr>
      <w:tr>
        <w:trPr>
          <w:trHeight w:val="216"/>
        </w:trPr>
        <w:tc>
          <w:tcPr>
            <w:tcW w:w="4680" w:type="dxa"/>
            <w:vAlign w:val="bottom"/>
            <w:shd w:val="clear" w:color="auto" w:fill="CCEEFF"/>
          </w:tcPr>
          <w:p>
            <w:pPr>
              <w:spacing w:after="0"/>
              <w:rPr>
                <w:sz w:val="20"/>
                <w:szCs w:val="20"/>
                <w:color w:val="auto"/>
              </w:rPr>
            </w:pPr>
            <w:r>
              <w:rPr>
                <w:rFonts w:ascii="Arial" w:cs="Arial" w:eastAsia="Arial" w:hAnsi="Arial"/>
                <w:sz w:val="18"/>
                <w:szCs w:val="18"/>
                <w:color w:val="auto"/>
              </w:rPr>
              <w:t>Investment Portfolio</w:t>
            </w:r>
          </w:p>
        </w:tc>
        <w:tc>
          <w:tcPr>
            <w:tcW w:w="540" w:type="dxa"/>
            <w:vAlign w:val="bottom"/>
            <w:shd w:val="clear" w:color="auto" w:fill="CCEEFF"/>
          </w:tcPr>
          <w:p>
            <w:pPr>
              <w:jc w:val="right"/>
              <w:ind w:right="170"/>
              <w:spacing w:after="0"/>
              <w:rPr>
                <w:sz w:val="20"/>
                <w:szCs w:val="20"/>
                <w:color w:val="auto"/>
              </w:rPr>
            </w:pPr>
            <w:r>
              <w:rPr>
                <w:rFonts w:ascii="Arial" w:cs="Arial" w:eastAsia="Arial" w:hAnsi="Arial"/>
                <w:sz w:val="18"/>
                <w:szCs w:val="18"/>
                <w:color w:val="auto"/>
              </w:rPr>
              <w:t>$</w:t>
            </w:r>
          </w:p>
        </w:tc>
        <w:tc>
          <w:tcPr>
            <w:tcW w:w="880" w:type="dxa"/>
            <w:vAlign w:val="bottom"/>
            <w:shd w:val="clear" w:color="auto" w:fill="CCEEFF"/>
          </w:tcPr>
          <w:p>
            <w:pPr>
              <w:jc w:val="right"/>
              <w:ind w:right="110"/>
              <w:spacing w:after="0"/>
              <w:rPr>
                <w:sz w:val="20"/>
                <w:szCs w:val="20"/>
                <w:color w:val="auto"/>
              </w:rPr>
            </w:pPr>
            <w:r>
              <w:rPr>
                <w:rFonts w:ascii="Arial" w:cs="Arial" w:eastAsia="Arial" w:hAnsi="Arial"/>
                <w:sz w:val="18"/>
                <w:szCs w:val="18"/>
                <w:color w:val="auto"/>
              </w:rPr>
              <w:t>96</w:t>
            </w:r>
          </w:p>
        </w:tc>
        <w:tc>
          <w:tcPr>
            <w:tcW w:w="420" w:type="dxa"/>
            <w:vAlign w:val="bottom"/>
            <w:shd w:val="clear" w:color="auto" w:fill="CCEEFF"/>
          </w:tcPr>
          <w:p>
            <w:pPr>
              <w:jc w:val="right"/>
              <w:ind w:right="170"/>
              <w:spacing w:after="0"/>
              <w:rPr>
                <w:sz w:val="20"/>
                <w:szCs w:val="20"/>
                <w:color w:val="auto"/>
              </w:rPr>
            </w:pPr>
            <w:r>
              <w:rPr>
                <w:rFonts w:ascii="Arial" w:cs="Arial" w:eastAsia="Arial" w:hAnsi="Arial"/>
                <w:sz w:val="18"/>
                <w:szCs w:val="18"/>
                <w:color w:val="auto"/>
              </w:rPr>
              <w:t>$</w:t>
            </w:r>
          </w:p>
        </w:tc>
        <w:tc>
          <w:tcPr>
            <w:tcW w:w="880" w:type="dxa"/>
            <w:vAlign w:val="bottom"/>
            <w:shd w:val="clear" w:color="auto" w:fill="CCEEFF"/>
          </w:tcPr>
          <w:p>
            <w:pPr>
              <w:jc w:val="right"/>
              <w:ind w:right="110"/>
              <w:spacing w:after="0"/>
              <w:rPr>
                <w:sz w:val="20"/>
                <w:szCs w:val="20"/>
                <w:color w:val="auto"/>
              </w:rPr>
            </w:pPr>
            <w:r>
              <w:rPr>
                <w:rFonts w:ascii="Arial" w:cs="Arial" w:eastAsia="Arial" w:hAnsi="Arial"/>
                <w:sz w:val="18"/>
                <w:szCs w:val="18"/>
                <w:color w:val="auto"/>
              </w:rPr>
              <w:t>88</w:t>
            </w:r>
          </w:p>
        </w:tc>
        <w:tc>
          <w:tcPr>
            <w:tcW w:w="420" w:type="dxa"/>
            <w:vAlign w:val="bottom"/>
            <w:shd w:val="clear" w:color="auto" w:fill="CCEEFF"/>
          </w:tcPr>
          <w:p>
            <w:pPr>
              <w:jc w:val="right"/>
              <w:ind w:right="170"/>
              <w:spacing w:after="0"/>
              <w:rPr>
                <w:sz w:val="20"/>
                <w:szCs w:val="20"/>
                <w:color w:val="auto"/>
              </w:rPr>
            </w:pPr>
            <w:r>
              <w:rPr>
                <w:rFonts w:ascii="Arial" w:cs="Arial" w:eastAsia="Arial" w:hAnsi="Arial"/>
                <w:sz w:val="18"/>
                <w:szCs w:val="18"/>
                <w:color w:val="auto"/>
              </w:rPr>
              <w:t>$</w:t>
            </w:r>
          </w:p>
        </w:tc>
        <w:tc>
          <w:tcPr>
            <w:tcW w:w="88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rPr>
              <w:t>96</w:t>
            </w:r>
          </w:p>
        </w:tc>
        <w:tc>
          <w:tcPr>
            <w:tcW w:w="420" w:type="dxa"/>
            <w:vAlign w:val="bottom"/>
            <w:shd w:val="clear" w:color="auto" w:fill="CCEEFF"/>
          </w:tcPr>
          <w:p>
            <w:pPr>
              <w:jc w:val="right"/>
              <w:ind w:right="190"/>
              <w:spacing w:after="0"/>
              <w:rPr>
                <w:sz w:val="20"/>
                <w:szCs w:val="20"/>
                <w:color w:val="auto"/>
              </w:rPr>
            </w:pPr>
            <w:r>
              <w:rPr>
                <w:rFonts w:ascii="Arial" w:cs="Arial" w:eastAsia="Arial" w:hAnsi="Arial"/>
                <w:sz w:val="18"/>
                <w:szCs w:val="18"/>
                <w:color w:val="auto"/>
              </w:rPr>
              <w:t>$</w:t>
            </w:r>
          </w:p>
        </w:tc>
        <w:tc>
          <w:tcPr>
            <w:tcW w:w="88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rPr>
              <w:t>79</w:t>
            </w:r>
          </w:p>
        </w:tc>
        <w:tc>
          <w:tcPr>
            <w:tcW w:w="400" w:type="dxa"/>
            <w:vAlign w:val="bottom"/>
            <w:shd w:val="clear" w:color="auto" w:fill="CCEEFF"/>
          </w:tcPr>
          <w:p>
            <w:pPr>
              <w:jc w:val="right"/>
              <w:ind w:right="170"/>
              <w:spacing w:after="0"/>
              <w:rPr>
                <w:sz w:val="20"/>
                <w:szCs w:val="20"/>
                <w:color w:val="auto"/>
              </w:rPr>
            </w:pPr>
            <w:r>
              <w:rPr>
                <w:rFonts w:ascii="Arial" w:cs="Arial" w:eastAsia="Arial" w:hAnsi="Arial"/>
                <w:sz w:val="18"/>
                <w:szCs w:val="18"/>
                <w:color w:val="auto"/>
              </w:rPr>
              <w:t>$</w:t>
            </w:r>
          </w:p>
        </w:tc>
        <w:tc>
          <w:tcPr>
            <w:tcW w:w="84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rPr>
              <w:t>88</w:t>
            </w:r>
          </w:p>
        </w:tc>
      </w:tr>
      <w:tr>
        <w:trPr>
          <w:trHeight w:val="216"/>
        </w:trPr>
        <w:tc>
          <w:tcPr>
            <w:tcW w:w="4680" w:type="dxa"/>
            <w:vAlign w:val="bottom"/>
          </w:tcPr>
          <w:p>
            <w:pPr>
              <w:spacing w:after="0"/>
              <w:rPr>
                <w:sz w:val="20"/>
                <w:szCs w:val="20"/>
                <w:color w:val="auto"/>
              </w:rPr>
            </w:pPr>
            <w:r>
              <w:rPr>
                <w:rFonts w:ascii="Arial" w:cs="Arial" w:eastAsia="Arial" w:hAnsi="Arial"/>
                <w:sz w:val="18"/>
                <w:szCs w:val="18"/>
                <w:color w:val="auto"/>
              </w:rPr>
              <w:t>Total assets</w:t>
            </w:r>
          </w:p>
        </w:tc>
        <w:tc>
          <w:tcPr>
            <w:tcW w:w="540" w:type="dxa"/>
            <w:vAlign w:val="bottom"/>
          </w:tcPr>
          <w:p>
            <w:pPr>
              <w:jc w:val="right"/>
              <w:ind w:right="170"/>
              <w:spacing w:after="0"/>
              <w:rPr>
                <w:sz w:val="20"/>
                <w:szCs w:val="20"/>
                <w:color w:val="auto"/>
              </w:rPr>
            </w:pPr>
            <w:r>
              <w:rPr>
                <w:rFonts w:ascii="Arial" w:cs="Arial" w:eastAsia="Arial" w:hAnsi="Arial"/>
                <w:sz w:val="18"/>
                <w:szCs w:val="18"/>
                <w:color w:val="auto"/>
              </w:rPr>
              <w:t>$</w:t>
            </w:r>
          </w:p>
        </w:tc>
        <w:tc>
          <w:tcPr>
            <w:tcW w:w="880" w:type="dxa"/>
            <w:vAlign w:val="bottom"/>
          </w:tcPr>
          <w:p>
            <w:pPr>
              <w:jc w:val="right"/>
              <w:ind w:right="110"/>
              <w:spacing w:after="0"/>
              <w:rPr>
                <w:sz w:val="20"/>
                <w:szCs w:val="20"/>
                <w:color w:val="auto"/>
              </w:rPr>
            </w:pPr>
            <w:r>
              <w:rPr>
                <w:rFonts w:ascii="Arial" w:cs="Arial" w:eastAsia="Arial" w:hAnsi="Arial"/>
                <w:sz w:val="18"/>
                <w:szCs w:val="18"/>
                <w:color w:val="auto"/>
              </w:rPr>
              <w:t>6,627</w:t>
            </w:r>
          </w:p>
        </w:tc>
        <w:tc>
          <w:tcPr>
            <w:tcW w:w="420" w:type="dxa"/>
            <w:vAlign w:val="bottom"/>
          </w:tcPr>
          <w:p>
            <w:pPr>
              <w:jc w:val="right"/>
              <w:ind w:right="170"/>
              <w:spacing w:after="0"/>
              <w:rPr>
                <w:sz w:val="20"/>
                <w:szCs w:val="20"/>
                <w:color w:val="auto"/>
              </w:rPr>
            </w:pPr>
            <w:r>
              <w:rPr>
                <w:rFonts w:ascii="Arial" w:cs="Arial" w:eastAsia="Arial" w:hAnsi="Arial"/>
                <w:sz w:val="18"/>
                <w:szCs w:val="18"/>
                <w:color w:val="auto"/>
              </w:rPr>
              <w:t>$</w:t>
            </w:r>
          </w:p>
        </w:tc>
        <w:tc>
          <w:tcPr>
            <w:tcW w:w="880" w:type="dxa"/>
            <w:vAlign w:val="bottom"/>
          </w:tcPr>
          <w:p>
            <w:pPr>
              <w:jc w:val="right"/>
              <w:ind w:right="110"/>
              <w:spacing w:after="0"/>
              <w:rPr>
                <w:sz w:val="20"/>
                <w:szCs w:val="20"/>
                <w:color w:val="auto"/>
              </w:rPr>
            </w:pPr>
            <w:r>
              <w:rPr>
                <w:rFonts w:ascii="Arial" w:cs="Arial" w:eastAsia="Arial" w:hAnsi="Arial"/>
                <w:sz w:val="18"/>
                <w:szCs w:val="18"/>
                <w:color w:val="auto"/>
              </w:rPr>
              <w:t>6,576</w:t>
            </w:r>
          </w:p>
        </w:tc>
        <w:tc>
          <w:tcPr>
            <w:tcW w:w="420" w:type="dxa"/>
            <w:vAlign w:val="bottom"/>
          </w:tcPr>
          <w:p>
            <w:pPr>
              <w:jc w:val="right"/>
              <w:ind w:right="170"/>
              <w:spacing w:after="0"/>
              <w:rPr>
                <w:sz w:val="20"/>
                <w:szCs w:val="20"/>
                <w:color w:val="auto"/>
              </w:rPr>
            </w:pPr>
            <w:r>
              <w:rPr>
                <w:rFonts w:ascii="Arial" w:cs="Arial" w:eastAsia="Arial" w:hAnsi="Arial"/>
                <w:sz w:val="18"/>
                <w:szCs w:val="18"/>
                <w:color w:val="auto"/>
              </w:rPr>
              <w:t>$</w:t>
            </w:r>
          </w:p>
        </w:tc>
        <w:tc>
          <w:tcPr>
            <w:tcW w:w="880" w:type="dxa"/>
            <w:vAlign w:val="bottom"/>
          </w:tcPr>
          <w:p>
            <w:pPr>
              <w:jc w:val="right"/>
              <w:ind w:right="130"/>
              <w:spacing w:after="0"/>
              <w:rPr>
                <w:sz w:val="20"/>
                <w:szCs w:val="20"/>
                <w:color w:val="auto"/>
              </w:rPr>
            </w:pPr>
            <w:r>
              <w:rPr>
                <w:rFonts w:ascii="Arial" w:cs="Arial" w:eastAsia="Arial" w:hAnsi="Arial"/>
                <w:sz w:val="18"/>
                <w:szCs w:val="18"/>
                <w:color w:val="auto"/>
              </w:rPr>
              <w:t>6,627</w:t>
            </w:r>
          </w:p>
        </w:tc>
        <w:tc>
          <w:tcPr>
            <w:tcW w:w="420" w:type="dxa"/>
            <w:vAlign w:val="bottom"/>
          </w:tcPr>
          <w:p>
            <w:pPr>
              <w:jc w:val="right"/>
              <w:ind w:right="190"/>
              <w:spacing w:after="0"/>
              <w:rPr>
                <w:sz w:val="20"/>
                <w:szCs w:val="20"/>
                <w:color w:val="auto"/>
              </w:rPr>
            </w:pPr>
            <w:r>
              <w:rPr>
                <w:rFonts w:ascii="Arial" w:cs="Arial" w:eastAsia="Arial" w:hAnsi="Arial"/>
                <w:sz w:val="18"/>
                <w:szCs w:val="18"/>
                <w:color w:val="auto"/>
              </w:rPr>
              <w:t>$</w:t>
            </w:r>
          </w:p>
        </w:tc>
        <w:tc>
          <w:tcPr>
            <w:tcW w:w="880" w:type="dxa"/>
            <w:vAlign w:val="bottom"/>
          </w:tcPr>
          <w:p>
            <w:pPr>
              <w:jc w:val="right"/>
              <w:ind w:right="130"/>
              <w:spacing w:after="0"/>
              <w:rPr>
                <w:sz w:val="20"/>
                <w:szCs w:val="20"/>
                <w:color w:val="auto"/>
              </w:rPr>
            </w:pPr>
            <w:r>
              <w:rPr>
                <w:rFonts w:ascii="Arial" w:cs="Arial" w:eastAsia="Arial" w:hAnsi="Arial"/>
                <w:sz w:val="18"/>
                <w:szCs w:val="18"/>
                <w:color w:val="auto"/>
              </w:rPr>
              <w:t>6,823</w:t>
            </w:r>
          </w:p>
        </w:tc>
        <w:tc>
          <w:tcPr>
            <w:tcW w:w="400" w:type="dxa"/>
            <w:vAlign w:val="bottom"/>
          </w:tcPr>
          <w:p>
            <w:pPr>
              <w:jc w:val="right"/>
              <w:ind w:right="170"/>
              <w:spacing w:after="0"/>
              <w:rPr>
                <w:sz w:val="20"/>
                <w:szCs w:val="20"/>
                <w:color w:val="auto"/>
              </w:rPr>
            </w:pPr>
            <w:r>
              <w:rPr>
                <w:rFonts w:ascii="Arial" w:cs="Arial" w:eastAsia="Arial" w:hAnsi="Arial"/>
                <w:sz w:val="18"/>
                <w:szCs w:val="18"/>
                <w:color w:val="auto"/>
              </w:rPr>
              <w:t>$</w:t>
            </w:r>
          </w:p>
        </w:tc>
        <w:tc>
          <w:tcPr>
            <w:tcW w:w="840" w:type="dxa"/>
            <w:vAlign w:val="bottom"/>
          </w:tcPr>
          <w:p>
            <w:pPr>
              <w:jc w:val="right"/>
              <w:ind w:right="70"/>
              <w:spacing w:after="0"/>
              <w:rPr>
                <w:sz w:val="20"/>
                <w:szCs w:val="20"/>
                <w:color w:val="auto"/>
              </w:rPr>
            </w:pPr>
            <w:r>
              <w:rPr>
                <w:rFonts w:ascii="Arial" w:cs="Arial" w:eastAsia="Arial" w:hAnsi="Arial"/>
                <w:sz w:val="18"/>
                <w:szCs w:val="18"/>
                <w:color w:val="auto"/>
              </w:rPr>
              <w:t>6,576</w:t>
            </w:r>
          </w:p>
        </w:tc>
      </w:tr>
      <w:tr>
        <w:trPr>
          <w:trHeight w:val="216"/>
        </w:trPr>
        <w:tc>
          <w:tcPr>
            <w:tcW w:w="4680" w:type="dxa"/>
            <w:vAlign w:val="bottom"/>
            <w:shd w:val="clear" w:color="auto" w:fill="CCEEFF"/>
          </w:tcPr>
          <w:p>
            <w:pPr>
              <w:spacing w:after="0"/>
              <w:rPr>
                <w:sz w:val="20"/>
                <w:szCs w:val="20"/>
                <w:color w:val="auto"/>
              </w:rPr>
            </w:pPr>
            <w:r>
              <w:rPr>
                <w:rFonts w:ascii="Arial" w:cs="Arial" w:eastAsia="Arial" w:hAnsi="Arial"/>
                <w:sz w:val="18"/>
                <w:szCs w:val="18"/>
                <w:color w:val="auto"/>
              </w:rPr>
              <w:t>Total equity</w:t>
            </w:r>
          </w:p>
        </w:tc>
        <w:tc>
          <w:tcPr>
            <w:tcW w:w="540" w:type="dxa"/>
            <w:vAlign w:val="bottom"/>
            <w:shd w:val="clear" w:color="auto" w:fill="CCEEFF"/>
          </w:tcPr>
          <w:p>
            <w:pPr>
              <w:jc w:val="right"/>
              <w:ind w:right="170"/>
              <w:spacing w:after="0"/>
              <w:rPr>
                <w:sz w:val="20"/>
                <w:szCs w:val="20"/>
                <w:color w:val="auto"/>
              </w:rPr>
            </w:pPr>
            <w:r>
              <w:rPr>
                <w:rFonts w:ascii="Arial" w:cs="Arial" w:eastAsia="Arial" w:hAnsi="Arial"/>
                <w:sz w:val="18"/>
                <w:szCs w:val="18"/>
                <w:color w:val="auto"/>
              </w:rPr>
              <w:t>$</w:t>
            </w:r>
          </w:p>
        </w:tc>
        <w:tc>
          <w:tcPr>
            <w:tcW w:w="880" w:type="dxa"/>
            <w:vAlign w:val="bottom"/>
            <w:shd w:val="clear" w:color="auto" w:fill="CCEEFF"/>
          </w:tcPr>
          <w:p>
            <w:pPr>
              <w:jc w:val="right"/>
              <w:ind w:right="110"/>
              <w:spacing w:after="0"/>
              <w:rPr>
                <w:sz w:val="20"/>
                <w:szCs w:val="20"/>
                <w:color w:val="auto"/>
              </w:rPr>
            </w:pPr>
            <w:r>
              <w:rPr>
                <w:rFonts w:ascii="Arial" w:cs="Arial" w:eastAsia="Arial" w:hAnsi="Arial"/>
                <w:sz w:val="18"/>
                <w:szCs w:val="18"/>
                <w:color w:val="auto"/>
              </w:rPr>
              <w:t>1,022</w:t>
            </w:r>
          </w:p>
        </w:tc>
        <w:tc>
          <w:tcPr>
            <w:tcW w:w="420" w:type="dxa"/>
            <w:vAlign w:val="bottom"/>
            <w:shd w:val="clear" w:color="auto" w:fill="CCEEFF"/>
          </w:tcPr>
          <w:p>
            <w:pPr>
              <w:jc w:val="right"/>
              <w:ind w:right="170"/>
              <w:spacing w:after="0"/>
              <w:rPr>
                <w:sz w:val="20"/>
                <w:szCs w:val="20"/>
                <w:color w:val="auto"/>
              </w:rPr>
            </w:pPr>
            <w:r>
              <w:rPr>
                <w:rFonts w:ascii="Arial" w:cs="Arial" w:eastAsia="Arial" w:hAnsi="Arial"/>
                <w:sz w:val="18"/>
                <w:szCs w:val="18"/>
                <w:color w:val="auto"/>
              </w:rPr>
              <w:t>$</w:t>
            </w:r>
          </w:p>
        </w:tc>
        <w:tc>
          <w:tcPr>
            <w:tcW w:w="880" w:type="dxa"/>
            <w:vAlign w:val="bottom"/>
            <w:shd w:val="clear" w:color="auto" w:fill="CCEEFF"/>
          </w:tcPr>
          <w:p>
            <w:pPr>
              <w:jc w:val="right"/>
              <w:ind w:right="110"/>
              <w:spacing w:after="0"/>
              <w:rPr>
                <w:sz w:val="20"/>
                <w:szCs w:val="20"/>
                <w:color w:val="auto"/>
              </w:rPr>
            </w:pPr>
            <w:r>
              <w:rPr>
                <w:rFonts w:ascii="Arial" w:cs="Arial" w:eastAsia="Arial" w:hAnsi="Arial"/>
                <w:sz w:val="18"/>
                <w:szCs w:val="18"/>
                <w:color w:val="auto"/>
              </w:rPr>
              <w:t>1,003</w:t>
            </w:r>
          </w:p>
        </w:tc>
        <w:tc>
          <w:tcPr>
            <w:tcW w:w="420" w:type="dxa"/>
            <w:vAlign w:val="bottom"/>
            <w:shd w:val="clear" w:color="auto" w:fill="CCEEFF"/>
          </w:tcPr>
          <w:p>
            <w:pPr>
              <w:jc w:val="right"/>
              <w:ind w:right="170"/>
              <w:spacing w:after="0"/>
              <w:rPr>
                <w:sz w:val="20"/>
                <w:szCs w:val="20"/>
                <w:color w:val="auto"/>
              </w:rPr>
            </w:pPr>
            <w:r>
              <w:rPr>
                <w:rFonts w:ascii="Arial" w:cs="Arial" w:eastAsia="Arial" w:hAnsi="Arial"/>
                <w:sz w:val="18"/>
                <w:szCs w:val="18"/>
                <w:color w:val="auto"/>
              </w:rPr>
              <w:t>$</w:t>
            </w:r>
          </w:p>
        </w:tc>
        <w:tc>
          <w:tcPr>
            <w:tcW w:w="88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rPr>
              <w:t>1,022</w:t>
            </w:r>
          </w:p>
        </w:tc>
        <w:tc>
          <w:tcPr>
            <w:tcW w:w="420" w:type="dxa"/>
            <w:vAlign w:val="bottom"/>
            <w:shd w:val="clear" w:color="auto" w:fill="CCEEFF"/>
          </w:tcPr>
          <w:p>
            <w:pPr>
              <w:jc w:val="right"/>
              <w:ind w:right="190"/>
              <w:spacing w:after="0"/>
              <w:rPr>
                <w:sz w:val="20"/>
                <w:szCs w:val="20"/>
                <w:color w:val="auto"/>
              </w:rPr>
            </w:pPr>
            <w:r>
              <w:rPr>
                <w:rFonts w:ascii="Arial" w:cs="Arial" w:eastAsia="Arial" w:hAnsi="Arial"/>
                <w:sz w:val="18"/>
                <w:szCs w:val="18"/>
                <w:color w:val="auto"/>
              </w:rPr>
              <w:t>$</w:t>
            </w:r>
          </w:p>
        </w:tc>
        <w:tc>
          <w:tcPr>
            <w:tcW w:w="880" w:type="dxa"/>
            <w:vAlign w:val="bottom"/>
            <w:shd w:val="clear" w:color="auto" w:fill="CCEEFF"/>
          </w:tcPr>
          <w:p>
            <w:pPr>
              <w:jc w:val="right"/>
              <w:ind w:right="130"/>
              <w:spacing w:after="0"/>
              <w:rPr>
                <w:sz w:val="20"/>
                <w:szCs w:val="20"/>
                <w:color w:val="auto"/>
              </w:rPr>
            </w:pPr>
            <w:r>
              <w:rPr>
                <w:rFonts w:ascii="Arial" w:cs="Arial" w:eastAsia="Arial" w:hAnsi="Arial"/>
                <w:sz w:val="18"/>
                <w:szCs w:val="18"/>
                <w:color w:val="auto"/>
              </w:rPr>
              <w:t>1,018</w:t>
            </w:r>
          </w:p>
        </w:tc>
        <w:tc>
          <w:tcPr>
            <w:tcW w:w="400" w:type="dxa"/>
            <w:vAlign w:val="bottom"/>
            <w:shd w:val="clear" w:color="auto" w:fill="CCEEFF"/>
          </w:tcPr>
          <w:p>
            <w:pPr>
              <w:jc w:val="right"/>
              <w:ind w:right="170"/>
              <w:spacing w:after="0"/>
              <w:rPr>
                <w:sz w:val="20"/>
                <w:szCs w:val="20"/>
                <w:color w:val="auto"/>
              </w:rPr>
            </w:pPr>
            <w:r>
              <w:rPr>
                <w:rFonts w:ascii="Arial" w:cs="Arial" w:eastAsia="Arial" w:hAnsi="Arial"/>
                <w:sz w:val="18"/>
                <w:szCs w:val="18"/>
                <w:color w:val="auto"/>
              </w:rPr>
              <w:t>$</w:t>
            </w:r>
          </w:p>
        </w:tc>
        <w:tc>
          <w:tcPr>
            <w:tcW w:w="84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rPr>
              <w:t>1,003</w:t>
            </w:r>
          </w:p>
        </w:tc>
      </w:tr>
      <w:tr>
        <w:trPr>
          <w:trHeight w:val="257"/>
        </w:trPr>
        <w:tc>
          <w:tcPr>
            <w:tcW w:w="4680" w:type="dxa"/>
            <w:vAlign w:val="bottom"/>
          </w:tcPr>
          <w:p>
            <w:pPr>
              <w:spacing w:after="0" w:line="256" w:lineRule="exact"/>
              <w:rPr>
                <w:sz w:val="20"/>
                <w:szCs w:val="20"/>
                <w:color w:val="auto"/>
              </w:rPr>
            </w:pPr>
            <w:r>
              <w:rPr>
                <w:rFonts w:ascii="Arial" w:cs="Arial" w:eastAsia="Arial" w:hAnsi="Arial"/>
                <w:sz w:val="18"/>
                <w:szCs w:val="18"/>
                <w:color w:val="auto"/>
              </w:rPr>
              <w:t xml:space="preserve">Market capitalization </w:t>
            </w:r>
            <w:r>
              <w:rPr>
                <w:rFonts w:ascii="Arial" w:cs="Arial" w:eastAsia="Arial" w:hAnsi="Arial"/>
                <w:sz w:val="29"/>
                <w:szCs w:val="29"/>
                <w:color w:val="auto"/>
                <w:vertAlign w:val="superscript"/>
              </w:rPr>
              <w:t>(8)</w:t>
            </w:r>
          </w:p>
        </w:tc>
        <w:tc>
          <w:tcPr>
            <w:tcW w:w="540" w:type="dxa"/>
            <w:vAlign w:val="bottom"/>
          </w:tcPr>
          <w:p>
            <w:pPr>
              <w:jc w:val="right"/>
              <w:ind w:right="170"/>
              <w:spacing w:after="0"/>
              <w:rPr>
                <w:sz w:val="20"/>
                <w:szCs w:val="20"/>
                <w:color w:val="auto"/>
              </w:rPr>
            </w:pPr>
            <w:r>
              <w:rPr>
                <w:rFonts w:ascii="Arial" w:cs="Arial" w:eastAsia="Arial" w:hAnsi="Arial"/>
                <w:sz w:val="18"/>
                <w:szCs w:val="18"/>
                <w:color w:val="auto"/>
              </w:rPr>
              <w:t>$</w:t>
            </w:r>
          </w:p>
        </w:tc>
        <w:tc>
          <w:tcPr>
            <w:tcW w:w="880" w:type="dxa"/>
            <w:vAlign w:val="bottom"/>
          </w:tcPr>
          <w:p>
            <w:pPr>
              <w:jc w:val="right"/>
              <w:ind w:right="110"/>
              <w:spacing w:after="0"/>
              <w:rPr>
                <w:sz w:val="20"/>
                <w:szCs w:val="20"/>
                <w:color w:val="auto"/>
              </w:rPr>
            </w:pPr>
            <w:r>
              <w:rPr>
                <w:rFonts w:ascii="Arial" w:cs="Arial" w:eastAsia="Arial" w:hAnsi="Arial"/>
                <w:sz w:val="18"/>
                <w:szCs w:val="18"/>
                <w:color w:val="auto"/>
              </w:rPr>
              <w:t>456</w:t>
            </w:r>
          </w:p>
        </w:tc>
        <w:tc>
          <w:tcPr>
            <w:tcW w:w="420" w:type="dxa"/>
            <w:vAlign w:val="bottom"/>
          </w:tcPr>
          <w:p>
            <w:pPr>
              <w:jc w:val="right"/>
              <w:ind w:right="170"/>
              <w:spacing w:after="0"/>
              <w:rPr>
                <w:sz w:val="20"/>
                <w:szCs w:val="20"/>
                <w:color w:val="auto"/>
              </w:rPr>
            </w:pPr>
            <w:r>
              <w:rPr>
                <w:rFonts w:ascii="Arial" w:cs="Arial" w:eastAsia="Arial" w:hAnsi="Arial"/>
                <w:sz w:val="18"/>
                <w:szCs w:val="18"/>
                <w:color w:val="auto"/>
              </w:rPr>
              <w:t>$</w:t>
            </w:r>
          </w:p>
        </w:tc>
        <w:tc>
          <w:tcPr>
            <w:tcW w:w="880" w:type="dxa"/>
            <w:vAlign w:val="bottom"/>
          </w:tcPr>
          <w:p>
            <w:pPr>
              <w:jc w:val="right"/>
              <w:ind w:right="110"/>
              <w:spacing w:after="0"/>
              <w:rPr>
                <w:sz w:val="20"/>
                <w:szCs w:val="20"/>
                <w:color w:val="auto"/>
              </w:rPr>
            </w:pPr>
            <w:r>
              <w:rPr>
                <w:rFonts w:ascii="Arial" w:cs="Arial" w:eastAsia="Arial" w:hAnsi="Arial"/>
                <w:sz w:val="18"/>
                <w:szCs w:val="18"/>
                <w:color w:val="auto"/>
              </w:rPr>
              <w:t>825</w:t>
            </w:r>
          </w:p>
        </w:tc>
        <w:tc>
          <w:tcPr>
            <w:tcW w:w="420" w:type="dxa"/>
            <w:vAlign w:val="bottom"/>
          </w:tcPr>
          <w:p>
            <w:pPr>
              <w:jc w:val="right"/>
              <w:ind w:right="170"/>
              <w:spacing w:after="0"/>
              <w:rPr>
                <w:sz w:val="20"/>
                <w:szCs w:val="20"/>
                <w:color w:val="auto"/>
              </w:rPr>
            </w:pPr>
            <w:r>
              <w:rPr>
                <w:rFonts w:ascii="Arial" w:cs="Arial" w:eastAsia="Arial" w:hAnsi="Arial"/>
                <w:sz w:val="18"/>
                <w:szCs w:val="18"/>
                <w:color w:val="auto"/>
              </w:rPr>
              <w:t>$</w:t>
            </w:r>
          </w:p>
        </w:tc>
        <w:tc>
          <w:tcPr>
            <w:tcW w:w="880" w:type="dxa"/>
            <w:vAlign w:val="bottom"/>
          </w:tcPr>
          <w:p>
            <w:pPr>
              <w:jc w:val="right"/>
              <w:ind w:right="130"/>
              <w:spacing w:after="0"/>
              <w:rPr>
                <w:sz w:val="20"/>
                <w:szCs w:val="20"/>
                <w:color w:val="auto"/>
              </w:rPr>
            </w:pPr>
            <w:r>
              <w:rPr>
                <w:rFonts w:ascii="Arial" w:cs="Arial" w:eastAsia="Arial" w:hAnsi="Arial"/>
                <w:sz w:val="18"/>
                <w:szCs w:val="18"/>
                <w:color w:val="auto"/>
              </w:rPr>
              <w:t>456</w:t>
            </w:r>
          </w:p>
        </w:tc>
        <w:tc>
          <w:tcPr>
            <w:tcW w:w="420" w:type="dxa"/>
            <w:vAlign w:val="bottom"/>
          </w:tcPr>
          <w:p>
            <w:pPr>
              <w:jc w:val="right"/>
              <w:ind w:right="190"/>
              <w:spacing w:after="0"/>
              <w:rPr>
                <w:sz w:val="20"/>
                <w:szCs w:val="20"/>
                <w:color w:val="auto"/>
              </w:rPr>
            </w:pPr>
            <w:r>
              <w:rPr>
                <w:rFonts w:ascii="Arial" w:cs="Arial" w:eastAsia="Arial" w:hAnsi="Arial"/>
                <w:sz w:val="18"/>
                <w:szCs w:val="18"/>
                <w:color w:val="auto"/>
              </w:rPr>
              <w:t>$</w:t>
            </w:r>
          </w:p>
        </w:tc>
        <w:tc>
          <w:tcPr>
            <w:tcW w:w="880" w:type="dxa"/>
            <w:vAlign w:val="bottom"/>
          </w:tcPr>
          <w:p>
            <w:pPr>
              <w:jc w:val="right"/>
              <w:ind w:right="130"/>
              <w:spacing w:after="0"/>
              <w:rPr>
                <w:sz w:val="20"/>
                <w:szCs w:val="20"/>
                <w:color w:val="auto"/>
              </w:rPr>
            </w:pPr>
            <w:r>
              <w:rPr>
                <w:rFonts w:ascii="Arial" w:cs="Arial" w:eastAsia="Arial" w:hAnsi="Arial"/>
                <w:sz w:val="18"/>
                <w:szCs w:val="18"/>
                <w:color w:val="auto"/>
              </w:rPr>
              <w:t>408</w:t>
            </w:r>
          </w:p>
        </w:tc>
        <w:tc>
          <w:tcPr>
            <w:tcW w:w="400" w:type="dxa"/>
            <w:vAlign w:val="bottom"/>
          </w:tcPr>
          <w:p>
            <w:pPr>
              <w:jc w:val="right"/>
              <w:ind w:right="170"/>
              <w:spacing w:after="0"/>
              <w:rPr>
                <w:sz w:val="20"/>
                <w:szCs w:val="20"/>
                <w:color w:val="auto"/>
              </w:rPr>
            </w:pPr>
            <w:r>
              <w:rPr>
                <w:rFonts w:ascii="Arial" w:cs="Arial" w:eastAsia="Arial" w:hAnsi="Arial"/>
                <w:sz w:val="18"/>
                <w:szCs w:val="18"/>
                <w:color w:val="auto"/>
              </w:rPr>
              <w:t>$</w:t>
            </w:r>
          </w:p>
        </w:tc>
        <w:tc>
          <w:tcPr>
            <w:tcW w:w="840" w:type="dxa"/>
            <w:vAlign w:val="bottom"/>
          </w:tcPr>
          <w:p>
            <w:pPr>
              <w:jc w:val="right"/>
              <w:ind w:right="70"/>
              <w:spacing w:after="0"/>
              <w:rPr>
                <w:sz w:val="20"/>
                <w:szCs w:val="20"/>
                <w:color w:val="auto"/>
              </w:rPr>
            </w:pPr>
            <w:r>
              <w:rPr>
                <w:rFonts w:ascii="Arial" w:cs="Arial" w:eastAsia="Arial" w:hAnsi="Arial"/>
                <w:sz w:val="18"/>
                <w:szCs w:val="18"/>
                <w:color w:val="auto"/>
              </w:rPr>
              <w:t>825</w:t>
            </w:r>
          </w:p>
        </w:tc>
      </w:tr>
      <w:tr>
        <w:trPr>
          <w:trHeight w:val="257"/>
        </w:trPr>
        <w:tc>
          <w:tcPr>
            <w:tcW w:w="468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Tier 1 Basel III Capital Ratio </w:t>
            </w:r>
            <w:r>
              <w:rPr>
                <w:rFonts w:ascii="Arial" w:cs="Arial" w:eastAsia="Arial" w:hAnsi="Arial"/>
                <w:sz w:val="29"/>
                <w:szCs w:val="29"/>
                <w:color w:val="auto"/>
                <w:vertAlign w:val="superscript"/>
              </w:rPr>
              <w:t>(9)</w:t>
            </w:r>
          </w:p>
        </w:tc>
        <w:tc>
          <w:tcPr>
            <w:tcW w:w="540" w:type="dxa"/>
            <w:vAlign w:val="bottom"/>
            <w:shd w:val="clear" w:color="auto" w:fill="CCEEFF"/>
          </w:tcPr>
          <w:p>
            <w:pPr>
              <w:spacing w:after="0"/>
              <w:rPr>
                <w:sz w:val="22"/>
                <w:szCs w:val="22"/>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24.8%</w:t>
            </w:r>
          </w:p>
        </w:tc>
        <w:tc>
          <w:tcPr>
            <w:tcW w:w="420" w:type="dxa"/>
            <w:vAlign w:val="bottom"/>
            <w:shd w:val="clear" w:color="auto" w:fill="CCEEFF"/>
          </w:tcPr>
          <w:p>
            <w:pPr>
              <w:spacing w:after="0"/>
              <w:rPr>
                <w:sz w:val="22"/>
                <w:szCs w:val="22"/>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20.4%</w:t>
            </w:r>
          </w:p>
        </w:tc>
        <w:tc>
          <w:tcPr>
            <w:tcW w:w="420" w:type="dxa"/>
            <w:vAlign w:val="bottom"/>
            <w:shd w:val="clear" w:color="auto" w:fill="CCEEFF"/>
          </w:tcPr>
          <w:p>
            <w:pPr>
              <w:spacing w:after="0"/>
              <w:rPr>
                <w:sz w:val="22"/>
                <w:szCs w:val="22"/>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24.8%</w:t>
            </w:r>
          </w:p>
        </w:tc>
        <w:tc>
          <w:tcPr>
            <w:tcW w:w="420" w:type="dxa"/>
            <w:vAlign w:val="bottom"/>
            <w:shd w:val="clear" w:color="auto" w:fill="CCEEFF"/>
          </w:tcPr>
          <w:p>
            <w:pPr>
              <w:spacing w:after="0"/>
              <w:rPr>
                <w:sz w:val="22"/>
                <w:szCs w:val="22"/>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21.8%</w:t>
            </w:r>
          </w:p>
        </w:tc>
        <w:tc>
          <w:tcPr>
            <w:tcW w:w="400" w:type="dxa"/>
            <w:vAlign w:val="bottom"/>
            <w:shd w:val="clear" w:color="auto" w:fill="CCEEFF"/>
          </w:tcPr>
          <w:p>
            <w:pPr>
              <w:spacing w:after="0"/>
              <w:rPr>
                <w:sz w:val="22"/>
                <w:szCs w:val="22"/>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20.4%</w:t>
            </w:r>
          </w:p>
        </w:tc>
      </w:tr>
      <w:tr>
        <w:trPr>
          <w:trHeight w:val="216"/>
        </w:trPr>
        <w:tc>
          <w:tcPr>
            <w:tcW w:w="4680" w:type="dxa"/>
            <w:vAlign w:val="bottom"/>
          </w:tcPr>
          <w:p>
            <w:pPr>
              <w:spacing w:after="0"/>
              <w:rPr>
                <w:sz w:val="20"/>
                <w:szCs w:val="20"/>
                <w:color w:val="auto"/>
              </w:rPr>
            </w:pPr>
            <w:r>
              <w:rPr>
                <w:rFonts w:ascii="Arial" w:cs="Arial" w:eastAsia="Arial" w:hAnsi="Arial"/>
                <w:sz w:val="18"/>
                <w:szCs w:val="18"/>
                <w:color w:val="auto"/>
              </w:rPr>
              <w:t>Total assets / Total equity (times)</w:t>
            </w:r>
          </w:p>
        </w:tc>
        <w:tc>
          <w:tcPr>
            <w:tcW w:w="540" w:type="dxa"/>
            <w:vAlign w:val="bottom"/>
          </w:tcPr>
          <w:p>
            <w:pPr>
              <w:spacing w:after="0"/>
              <w:rPr>
                <w:sz w:val="18"/>
                <w:szCs w:val="18"/>
                <w:color w:val="auto"/>
              </w:rPr>
            </w:pPr>
          </w:p>
        </w:tc>
        <w:tc>
          <w:tcPr>
            <w:tcW w:w="880" w:type="dxa"/>
            <w:vAlign w:val="bottom"/>
          </w:tcPr>
          <w:p>
            <w:pPr>
              <w:jc w:val="right"/>
              <w:ind w:right="110"/>
              <w:spacing w:after="0"/>
              <w:rPr>
                <w:sz w:val="20"/>
                <w:szCs w:val="20"/>
                <w:color w:val="auto"/>
              </w:rPr>
            </w:pPr>
            <w:r>
              <w:rPr>
                <w:rFonts w:ascii="Arial" w:cs="Arial" w:eastAsia="Arial" w:hAnsi="Arial"/>
                <w:sz w:val="18"/>
                <w:szCs w:val="18"/>
                <w:color w:val="auto"/>
              </w:rPr>
              <w:t>6.5</w:t>
            </w:r>
          </w:p>
        </w:tc>
        <w:tc>
          <w:tcPr>
            <w:tcW w:w="420" w:type="dxa"/>
            <w:vAlign w:val="bottom"/>
          </w:tcPr>
          <w:p>
            <w:pPr>
              <w:spacing w:after="0"/>
              <w:rPr>
                <w:sz w:val="18"/>
                <w:szCs w:val="18"/>
                <w:color w:val="auto"/>
              </w:rPr>
            </w:pPr>
          </w:p>
        </w:tc>
        <w:tc>
          <w:tcPr>
            <w:tcW w:w="880" w:type="dxa"/>
            <w:vAlign w:val="bottom"/>
          </w:tcPr>
          <w:p>
            <w:pPr>
              <w:jc w:val="right"/>
              <w:ind w:right="110"/>
              <w:spacing w:after="0"/>
              <w:rPr>
                <w:sz w:val="20"/>
                <w:szCs w:val="20"/>
                <w:color w:val="auto"/>
              </w:rPr>
            </w:pPr>
            <w:r>
              <w:rPr>
                <w:rFonts w:ascii="Arial" w:cs="Arial" w:eastAsia="Arial" w:hAnsi="Arial"/>
                <w:sz w:val="18"/>
                <w:szCs w:val="18"/>
                <w:color w:val="auto"/>
              </w:rPr>
              <w:t>6.6</w:t>
            </w:r>
          </w:p>
        </w:tc>
        <w:tc>
          <w:tcPr>
            <w:tcW w:w="420" w:type="dxa"/>
            <w:vAlign w:val="bottom"/>
          </w:tcPr>
          <w:p>
            <w:pPr>
              <w:spacing w:after="0"/>
              <w:rPr>
                <w:sz w:val="18"/>
                <w:szCs w:val="18"/>
                <w:color w:val="auto"/>
              </w:rPr>
            </w:pPr>
          </w:p>
        </w:tc>
        <w:tc>
          <w:tcPr>
            <w:tcW w:w="880" w:type="dxa"/>
            <w:vAlign w:val="bottom"/>
          </w:tcPr>
          <w:p>
            <w:pPr>
              <w:jc w:val="right"/>
              <w:ind w:right="130"/>
              <w:spacing w:after="0"/>
              <w:rPr>
                <w:sz w:val="20"/>
                <w:szCs w:val="20"/>
                <w:color w:val="auto"/>
              </w:rPr>
            </w:pPr>
            <w:r>
              <w:rPr>
                <w:rFonts w:ascii="Arial" w:cs="Arial" w:eastAsia="Arial" w:hAnsi="Arial"/>
                <w:sz w:val="18"/>
                <w:szCs w:val="18"/>
                <w:color w:val="auto"/>
              </w:rPr>
              <w:t>6.5</w:t>
            </w:r>
          </w:p>
        </w:tc>
        <w:tc>
          <w:tcPr>
            <w:tcW w:w="420" w:type="dxa"/>
            <w:vAlign w:val="bottom"/>
          </w:tcPr>
          <w:p>
            <w:pPr>
              <w:spacing w:after="0"/>
              <w:rPr>
                <w:sz w:val="18"/>
                <w:szCs w:val="18"/>
                <w:color w:val="auto"/>
              </w:rPr>
            </w:pPr>
          </w:p>
        </w:tc>
        <w:tc>
          <w:tcPr>
            <w:tcW w:w="880" w:type="dxa"/>
            <w:vAlign w:val="bottom"/>
          </w:tcPr>
          <w:p>
            <w:pPr>
              <w:jc w:val="right"/>
              <w:ind w:right="130"/>
              <w:spacing w:after="0"/>
              <w:rPr>
                <w:sz w:val="20"/>
                <w:szCs w:val="20"/>
                <w:color w:val="auto"/>
              </w:rPr>
            </w:pPr>
            <w:r>
              <w:rPr>
                <w:rFonts w:ascii="Arial" w:cs="Arial" w:eastAsia="Arial" w:hAnsi="Arial"/>
                <w:sz w:val="18"/>
                <w:szCs w:val="18"/>
                <w:color w:val="auto"/>
              </w:rPr>
              <w:t>6.7</w:t>
            </w:r>
          </w:p>
        </w:tc>
        <w:tc>
          <w:tcPr>
            <w:tcW w:w="400" w:type="dxa"/>
            <w:vAlign w:val="bottom"/>
          </w:tcPr>
          <w:p>
            <w:pPr>
              <w:spacing w:after="0"/>
              <w:rPr>
                <w:sz w:val="18"/>
                <w:szCs w:val="18"/>
                <w:color w:val="auto"/>
              </w:rPr>
            </w:pPr>
          </w:p>
        </w:tc>
        <w:tc>
          <w:tcPr>
            <w:tcW w:w="840" w:type="dxa"/>
            <w:vAlign w:val="bottom"/>
          </w:tcPr>
          <w:p>
            <w:pPr>
              <w:jc w:val="right"/>
              <w:ind w:right="70"/>
              <w:spacing w:after="0"/>
              <w:rPr>
                <w:sz w:val="20"/>
                <w:szCs w:val="20"/>
                <w:color w:val="auto"/>
              </w:rPr>
            </w:pPr>
            <w:r>
              <w:rPr>
                <w:rFonts w:ascii="Arial" w:cs="Arial" w:eastAsia="Arial" w:hAnsi="Arial"/>
                <w:sz w:val="18"/>
                <w:szCs w:val="18"/>
                <w:color w:val="auto"/>
              </w:rPr>
              <w:t>6.6</w:t>
            </w:r>
          </w:p>
        </w:tc>
      </w:tr>
      <w:tr>
        <w:trPr>
          <w:trHeight w:val="257"/>
        </w:trPr>
        <w:tc>
          <w:tcPr>
            <w:tcW w:w="468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Liquid Assets / Total Assets </w:t>
            </w:r>
            <w:r>
              <w:rPr>
                <w:rFonts w:ascii="Arial" w:cs="Arial" w:eastAsia="Arial" w:hAnsi="Arial"/>
                <w:sz w:val="29"/>
                <w:szCs w:val="29"/>
                <w:color w:val="auto"/>
                <w:vertAlign w:val="superscript"/>
              </w:rPr>
              <w:t>(10)</w:t>
            </w:r>
          </w:p>
        </w:tc>
        <w:tc>
          <w:tcPr>
            <w:tcW w:w="540" w:type="dxa"/>
            <w:vAlign w:val="bottom"/>
            <w:shd w:val="clear" w:color="auto" w:fill="CCEEFF"/>
          </w:tcPr>
          <w:p>
            <w:pPr>
              <w:spacing w:after="0"/>
              <w:rPr>
                <w:sz w:val="22"/>
                <w:szCs w:val="22"/>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29.6%</w:t>
            </w:r>
          </w:p>
        </w:tc>
        <w:tc>
          <w:tcPr>
            <w:tcW w:w="420" w:type="dxa"/>
            <w:vAlign w:val="bottom"/>
            <w:shd w:val="clear" w:color="auto" w:fill="CCEEFF"/>
          </w:tcPr>
          <w:p>
            <w:pPr>
              <w:spacing w:after="0"/>
              <w:rPr>
                <w:sz w:val="22"/>
                <w:szCs w:val="22"/>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12.8%</w:t>
            </w:r>
          </w:p>
        </w:tc>
        <w:tc>
          <w:tcPr>
            <w:tcW w:w="420" w:type="dxa"/>
            <w:vAlign w:val="bottom"/>
            <w:shd w:val="clear" w:color="auto" w:fill="CCEEFF"/>
          </w:tcPr>
          <w:p>
            <w:pPr>
              <w:spacing w:after="0"/>
              <w:rPr>
                <w:sz w:val="22"/>
                <w:szCs w:val="22"/>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29.6%</w:t>
            </w:r>
          </w:p>
        </w:tc>
        <w:tc>
          <w:tcPr>
            <w:tcW w:w="420" w:type="dxa"/>
            <w:vAlign w:val="bottom"/>
            <w:shd w:val="clear" w:color="auto" w:fill="CCEEFF"/>
          </w:tcPr>
          <w:p>
            <w:pPr>
              <w:spacing w:after="0"/>
              <w:rPr>
                <w:sz w:val="22"/>
                <w:szCs w:val="22"/>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19.0%</w:t>
            </w:r>
          </w:p>
        </w:tc>
        <w:tc>
          <w:tcPr>
            <w:tcW w:w="400" w:type="dxa"/>
            <w:vAlign w:val="bottom"/>
            <w:shd w:val="clear" w:color="auto" w:fill="CCEEFF"/>
          </w:tcPr>
          <w:p>
            <w:pPr>
              <w:spacing w:after="0"/>
              <w:rPr>
                <w:sz w:val="22"/>
                <w:szCs w:val="22"/>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12.8%</w:t>
            </w:r>
          </w:p>
        </w:tc>
      </w:tr>
      <w:tr>
        <w:trPr>
          <w:trHeight w:val="256"/>
        </w:trPr>
        <w:tc>
          <w:tcPr>
            <w:tcW w:w="4680" w:type="dxa"/>
            <w:vAlign w:val="bottom"/>
          </w:tcPr>
          <w:p>
            <w:pPr>
              <w:spacing w:after="0" w:line="256" w:lineRule="exact"/>
              <w:rPr>
                <w:sz w:val="20"/>
                <w:szCs w:val="20"/>
                <w:color w:val="auto"/>
              </w:rPr>
            </w:pPr>
            <w:r>
              <w:rPr>
                <w:rFonts w:ascii="Arial" w:cs="Arial" w:eastAsia="Arial" w:hAnsi="Arial"/>
                <w:sz w:val="18"/>
                <w:szCs w:val="18"/>
                <w:color w:val="auto"/>
              </w:rPr>
              <w:t xml:space="preserve">Credit-impaired loans to Loan Portfolio </w:t>
            </w:r>
            <w:r>
              <w:rPr>
                <w:rFonts w:ascii="Arial" w:cs="Arial" w:eastAsia="Arial" w:hAnsi="Arial"/>
                <w:sz w:val="29"/>
                <w:szCs w:val="29"/>
                <w:color w:val="auto"/>
                <w:vertAlign w:val="superscript"/>
              </w:rPr>
              <w:t>(11)</w:t>
            </w:r>
          </w:p>
        </w:tc>
        <w:tc>
          <w:tcPr>
            <w:tcW w:w="540" w:type="dxa"/>
            <w:vAlign w:val="bottom"/>
          </w:tcPr>
          <w:p>
            <w:pPr>
              <w:spacing w:after="0"/>
              <w:rPr>
                <w:sz w:val="22"/>
                <w:szCs w:val="22"/>
                <w:color w:val="auto"/>
              </w:rPr>
            </w:pPr>
          </w:p>
        </w:tc>
        <w:tc>
          <w:tcPr>
            <w:tcW w:w="880" w:type="dxa"/>
            <w:vAlign w:val="bottom"/>
          </w:tcPr>
          <w:p>
            <w:pPr>
              <w:jc w:val="right"/>
              <w:spacing w:after="0"/>
              <w:rPr>
                <w:sz w:val="20"/>
                <w:szCs w:val="20"/>
                <w:color w:val="auto"/>
              </w:rPr>
            </w:pPr>
            <w:r>
              <w:rPr>
                <w:rFonts w:ascii="Arial" w:cs="Arial" w:eastAsia="Arial" w:hAnsi="Arial"/>
                <w:sz w:val="18"/>
                <w:szCs w:val="18"/>
                <w:color w:val="auto"/>
              </w:rPr>
              <w:t>0.00%</w:t>
            </w:r>
          </w:p>
        </w:tc>
        <w:tc>
          <w:tcPr>
            <w:tcW w:w="420" w:type="dxa"/>
            <w:vAlign w:val="bottom"/>
          </w:tcPr>
          <w:p>
            <w:pPr>
              <w:spacing w:after="0"/>
              <w:rPr>
                <w:sz w:val="22"/>
                <w:szCs w:val="22"/>
                <w:color w:val="auto"/>
              </w:rPr>
            </w:pPr>
          </w:p>
        </w:tc>
        <w:tc>
          <w:tcPr>
            <w:tcW w:w="880" w:type="dxa"/>
            <w:vAlign w:val="bottom"/>
          </w:tcPr>
          <w:p>
            <w:pPr>
              <w:jc w:val="right"/>
              <w:spacing w:after="0"/>
              <w:rPr>
                <w:sz w:val="20"/>
                <w:szCs w:val="20"/>
                <w:color w:val="auto"/>
              </w:rPr>
            </w:pPr>
            <w:r>
              <w:rPr>
                <w:rFonts w:ascii="Arial" w:cs="Arial" w:eastAsia="Arial" w:hAnsi="Arial"/>
                <w:sz w:val="18"/>
                <w:szCs w:val="18"/>
                <w:color w:val="auto"/>
              </w:rPr>
              <w:t>1.16%</w:t>
            </w:r>
          </w:p>
        </w:tc>
        <w:tc>
          <w:tcPr>
            <w:tcW w:w="420" w:type="dxa"/>
            <w:vAlign w:val="bottom"/>
          </w:tcPr>
          <w:p>
            <w:pPr>
              <w:spacing w:after="0"/>
              <w:rPr>
                <w:sz w:val="22"/>
                <w:szCs w:val="22"/>
                <w:color w:val="auto"/>
              </w:rPr>
            </w:pPr>
          </w:p>
        </w:tc>
        <w:tc>
          <w:tcPr>
            <w:tcW w:w="880" w:type="dxa"/>
            <w:vAlign w:val="bottom"/>
          </w:tcPr>
          <w:p>
            <w:pPr>
              <w:jc w:val="right"/>
              <w:spacing w:after="0"/>
              <w:rPr>
                <w:sz w:val="20"/>
                <w:szCs w:val="20"/>
                <w:color w:val="auto"/>
              </w:rPr>
            </w:pPr>
            <w:r>
              <w:rPr>
                <w:rFonts w:ascii="Arial" w:cs="Arial" w:eastAsia="Arial" w:hAnsi="Arial"/>
                <w:sz w:val="18"/>
                <w:szCs w:val="18"/>
                <w:color w:val="auto"/>
              </w:rPr>
              <w:t>0.00%</w:t>
            </w:r>
          </w:p>
        </w:tc>
        <w:tc>
          <w:tcPr>
            <w:tcW w:w="420" w:type="dxa"/>
            <w:vAlign w:val="bottom"/>
          </w:tcPr>
          <w:p>
            <w:pPr>
              <w:spacing w:after="0"/>
              <w:rPr>
                <w:sz w:val="22"/>
                <w:szCs w:val="22"/>
                <w:color w:val="auto"/>
              </w:rPr>
            </w:pPr>
          </w:p>
        </w:tc>
        <w:tc>
          <w:tcPr>
            <w:tcW w:w="880" w:type="dxa"/>
            <w:vAlign w:val="bottom"/>
          </w:tcPr>
          <w:p>
            <w:pPr>
              <w:jc w:val="right"/>
              <w:spacing w:after="0"/>
              <w:rPr>
                <w:sz w:val="20"/>
                <w:szCs w:val="20"/>
                <w:color w:val="auto"/>
              </w:rPr>
            </w:pPr>
            <w:r>
              <w:rPr>
                <w:rFonts w:ascii="Arial" w:cs="Arial" w:eastAsia="Arial" w:hAnsi="Arial"/>
                <w:sz w:val="18"/>
                <w:szCs w:val="18"/>
                <w:color w:val="auto"/>
              </w:rPr>
              <w:t>1.16%</w:t>
            </w:r>
          </w:p>
        </w:tc>
        <w:tc>
          <w:tcPr>
            <w:tcW w:w="400" w:type="dxa"/>
            <w:vAlign w:val="bottom"/>
          </w:tcPr>
          <w:p>
            <w:pPr>
              <w:spacing w:after="0"/>
              <w:rPr>
                <w:sz w:val="22"/>
                <w:szCs w:val="22"/>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1.16%</w:t>
            </w:r>
          </w:p>
        </w:tc>
      </w:tr>
      <w:tr>
        <w:trPr>
          <w:trHeight w:val="257"/>
        </w:trPr>
        <w:tc>
          <w:tcPr>
            <w:tcW w:w="468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Total allowance for losses to Credit Portfolio </w:t>
            </w:r>
            <w:r>
              <w:rPr>
                <w:rFonts w:ascii="Arial" w:cs="Arial" w:eastAsia="Arial" w:hAnsi="Arial"/>
                <w:sz w:val="29"/>
                <w:szCs w:val="29"/>
                <w:color w:val="auto"/>
                <w:vertAlign w:val="superscript"/>
              </w:rPr>
              <w:t>(12)</w:t>
            </w:r>
          </w:p>
        </w:tc>
        <w:tc>
          <w:tcPr>
            <w:tcW w:w="540" w:type="dxa"/>
            <w:vAlign w:val="bottom"/>
            <w:shd w:val="clear" w:color="auto" w:fill="CCEEFF"/>
          </w:tcPr>
          <w:p>
            <w:pPr>
              <w:spacing w:after="0"/>
              <w:rPr>
                <w:sz w:val="22"/>
                <w:szCs w:val="22"/>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0.95%</w:t>
            </w:r>
          </w:p>
        </w:tc>
        <w:tc>
          <w:tcPr>
            <w:tcW w:w="420" w:type="dxa"/>
            <w:vAlign w:val="bottom"/>
            <w:shd w:val="clear" w:color="auto" w:fill="CCEEFF"/>
          </w:tcPr>
          <w:p>
            <w:pPr>
              <w:spacing w:after="0"/>
              <w:rPr>
                <w:sz w:val="22"/>
                <w:szCs w:val="22"/>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1.69%</w:t>
            </w:r>
          </w:p>
        </w:tc>
        <w:tc>
          <w:tcPr>
            <w:tcW w:w="420" w:type="dxa"/>
            <w:vAlign w:val="bottom"/>
            <w:shd w:val="clear" w:color="auto" w:fill="CCEEFF"/>
          </w:tcPr>
          <w:p>
            <w:pPr>
              <w:spacing w:after="0"/>
              <w:rPr>
                <w:sz w:val="22"/>
                <w:szCs w:val="22"/>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0.95%</w:t>
            </w:r>
          </w:p>
        </w:tc>
        <w:tc>
          <w:tcPr>
            <w:tcW w:w="420" w:type="dxa"/>
            <w:vAlign w:val="bottom"/>
            <w:shd w:val="clear" w:color="auto" w:fill="CCEEFF"/>
          </w:tcPr>
          <w:p>
            <w:pPr>
              <w:spacing w:after="0"/>
              <w:rPr>
                <w:sz w:val="22"/>
                <w:szCs w:val="22"/>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1.73%</w:t>
            </w:r>
          </w:p>
        </w:tc>
        <w:tc>
          <w:tcPr>
            <w:tcW w:w="400" w:type="dxa"/>
            <w:vAlign w:val="bottom"/>
            <w:shd w:val="clear" w:color="auto" w:fill="CCEEFF"/>
          </w:tcPr>
          <w:p>
            <w:pPr>
              <w:spacing w:after="0"/>
              <w:rPr>
                <w:sz w:val="22"/>
                <w:szCs w:val="22"/>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1.69%</w:t>
            </w:r>
          </w:p>
        </w:tc>
      </w:tr>
      <w:tr>
        <w:trPr>
          <w:trHeight w:val="390"/>
        </w:trPr>
        <w:tc>
          <w:tcPr>
            <w:tcW w:w="4680" w:type="dxa"/>
            <w:vAlign w:val="bottom"/>
          </w:tcPr>
          <w:p>
            <w:pPr>
              <w:spacing w:after="0"/>
              <w:rPr>
                <w:sz w:val="20"/>
                <w:szCs w:val="20"/>
                <w:color w:val="auto"/>
              </w:rPr>
            </w:pPr>
            <w:r>
              <w:rPr>
                <w:rFonts w:ascii="Arial" w:cs="Arial" w:eastAsia="Arial" w:hAnsi="Arial"/>
                <w:sz w:val="18"/>
                <w:szCs w:val="18"/>
                <w:color w:val="auto"/>
                <w:w w:val="93"/>
              </w:rPr>
              <w:t xml:space="preserve">Total allowance for losses to credit-impaired loans (times) </w:t>
            </w:r>
            <w:r>
              <w:rPr>
                <w:rFonts w:ascii="Arial" w:cs="Arial" w:eastAsia="Arial" w:hAnsi="Arial"/>
                <w:sz w:val="29"/>
                <w:szCs w:val="29"/>
                <w:color w:val="auto"/>
                <w:w w:val="93"/>
                <w:vertAlign w:val="superscript"/>
              </w:rPr>
              <w:t>(12)</w:t>
            </w:r>
          </w:p>
        </w:tc>
        <w:tc>
          <w:tcPr>
            <w:tcW w:w="540" w:type="dxa"/>
            <w:vAlign w:val="bottom"/>
          </w:tcPr>
          <w:p>
            <w:pPr>
              <w:spacing w:after="0"/>
              <w:rPr>
                <w:sz w:val="24"/>
                <w:szCs w:val="24"/>
                <w:color w:val="auto"/>
              </w:rPr>
            </w:pPr>
          </w:p>
        </w:tc>
        <w:tc>
          <w:tcPr>
            <w:tcW w:w="880" w:type="dxa"/>
            <w:vAlign w:val="bottom"/>
          </w:tcPr>
          <w:p>
            <w:pPr>
              <w:jc w:val="right"/>
              <w:ind w:right="110"/>
              <w:spacing w:after="0"/>
              <w:rPr>
                <w:sz w:val="20"/>
                <w:szCs w:val="20"/>
                <w:color w:val="auto"/>
              </w:rPr>
            </w:pPr>
            <w:r>
              <w:rPr>
                <w:rFonts w:ascii="Arial" w:cs="Arial" w:eastAsia="Arial" w:hAnsi="Arial"/>
                <w:sz w:val="18"/>
                <w:szCs w:val="18"/>
                <w:color w:val="auto"/>
              </w:rPr>
              <w:t>-</w:t>
            </w:r>
          </w:p>
        </w:tc>
        <w:tc>
          <w:tcPr>
            <w:tcW w:w="420" w:type="dxa"/>
            <w:vAlign w:val="bottom"/>
          </w:tcPr>
          <w:p>
            <w:pPr>
              <w:spacing w:after="0"/>
              <w:rPr>
                <w:sz w:val="24"/>
                <w:szCs w:val="24"/>
                <w:color w:val="auto"/>
              </w:rPr>
            </w:pPr>
          </w:p>
        </w:tc>
        <w:tc>
          <w:tcPr>
            <w:tcW w:w="880" w:type="dxa"/>
            <w:vAlign w:val="bottom"/>
          </w:tcPr>
          <w:p>
            <w:pPr>
              <w:jc w:val="right"/>
              <w:ind w:right="110"/>
              <w:spacing w:after="0"/>
              <w:rPr>
                <w:sz w:val="20"/>
                <w:szCs w:val="20"/>
                <w:color w:val="auto"/>
              </w:rPr>
            </w:pPr>
            <w:r>
              <w:rPr>
                <w:rFonts w:ascii="Arial" w:cs="Arial" w:eastAsia="Arial" w:hAnsi="Arial"/>
                <w:sz w:val="18"/>
                <w:szCs w:val="18"/>
                <w:color w:val="auto"/>
              </w:rPr>
              <w:t>1.6</w:t>
            </w:r>
          </w:p>
        </w:tc>
        <w:tc>
          <w:tcPr>
            <w:tcW w:w="420" w:type="dxa"/>
            <w:vAlign w:val="bottom"/>
          </w:tcPr>
          <w:p>
            <w:pPr>
              <w:spacing w:after="0"/>
              <w:rPr>
                <w:sz w:val="24"/>
                <w:szCs w:val="24"/>
                <w:color w:val="auto"/>
              </w:rPr>
            </w:pPr>
          </w:p>
        </w:tc>
        <w:tc>
          <w:tcPr>
            <w:tcW w:w="880" w:type="dxa"/>
            <w:vAlign w:val="bottom"/>
          </w:tcPr>
          <w:p>
            <w:pPr>
              <w:jc w:val="right"/>
              <w:ind w:right="130"/>
              <w:spacing w:after="0"/>
              <w:rPr>
                <w:sz w:val="20"/>
                <w:szCs w:val="20"/>
                <w:color w:val="auto"/>
              </w:rPr>
            </w:pPr>
            <w:r>
              <w:rPr>
                <w:rFonts w:ascii="Arial" w:cs="Arial" w:eastAsia="Arial" w:hAnsi="Arial"/>
                <w:sz w:val="18"/>
                <w:szCs w:val="18"/>
                <w:color w:val="auto"/>
              </w:rPr>
              <w:t>-</w:t>
            </w:r>
          </w:p>
        </w:tc>
        <w:tc>
          <w:tcPr>
            <w:tcW w:w="420" w:type="dxa"/>
            <w:vAlign w:val="bottom"/>
          </w:tcPr>
          <w:p>
            <w:pPr>
              <w:spacing w:after="0"/>
              <w:rPr>
                <w:sz w:val="24"/>
                <w:szCs w:val="24"/>
                <w:color w:val="auto"/>
              </w:rPr>
            </w:pPr>
          </w:p>
        </w:tc>
        <w:tc>
          <w:tcPr>
            <w:tcW w:w="880" w:type="dxa"/>
            <w:vAlign w:val="bottom"/>
          </w:tcPr>
          <w:p>
            <w:pPr>
              <w:jc w:val="right"/>
              <w:ind w:right="130"/>
              <w:spacing w:after="0"/>
              <w:rPr>
                <w:sz w:val="20"/>
                <w:szCs w:val="20"/>
                <w:color w:val="auto"/>
              </w:rPr>
            </w:pPr>
            <w:r>
              <w:rPr>
                <w:rFonts w:ascii="Arial" w:cs="Arial" w:eastAsia="Arial" w:hAnsi="Arial"/>
                <w:sz w:val="18"/>
                <w:szCs w:val="18"/>
                <w:color w:val="auto"/>
              </w:rPr>
              <w:t>1.7</w:t>
            </w:r>
          </w:p>
        </w:tc>
        <w:tc>
          <w:tcPr>
            <w:tcW w:w="400" w:type="dxa"/>
            <w:vAlign w:val="bottom"/>
          </w:tcPr>
          <w:p>
            <w:pPr>
              <w:spacing w:after="0"/>
              <w:rPr>
                <w:sz w:val="24"/>
                <w:szCs w:val="24"/>
                <w:color w:val="auto"/>
              </w:rPr>
            </w:pPr>
          </w:p>
        </w:tc>
        <w:tc>
          <w:tcPr>
            <w:tcW w:w="840" w:type="dxa"/>
            <w:vAlign w:val="bottom"/>
          </w:tcPr>
          <w:p>
            <w:pPr>
              <w:jc w:val="right"/>
              <w:ind w:right="70"/>
              <w:spacing w:after="0"/>
              <w:rPr>
                <w:sz w:val="20"/>
                <w:szCs w:val="20"/>
                <w:color w:val="auto"/>
              </w:rPr>
            </w:pPr>
            <w:r>
              <w:rPr>
                <w:rFonts w:ascii="Arial" w:cs="Arial" w:eastAsia="Arial" w:hAnsi="Arial"/>
                <w:sz w:val="18"/>
                <w:szCs w:val="18"/>
                <w:color w:val="auto"/>
              </w:rPr>
              <w:t>1.6</w:t>
            </w:r>
          </w:p>
        </w:tc>
      </w:tr>
      <w:tr>
        <w:trPr>
          <w:trHeight w:val="514"/>
        </w:trPr>
        <w:tc>
          <w:tcPr>
            <w:tcW w:w="468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63" w:right="339" w:bottom="1440" w:gutter="0" w:footer="0" w:header="0"/>
        </w:sectPr>
      </w:pPr>
    </w:p>
    <w:bookmarkStart w:id="4" w:name="page5"/>
    <w:bookmarkEnd w:id="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208280</wp:posOffset>
            </wp:positionH>
            <wp:positionV relativeFrom="page">
              <wp:posOffset>2849245</wp:posOffset>
            </wp:positionV>
            <wp:extent cx="7132320" cy="13887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clrChange>
                        <a:clrFrom>
                          <a:srgbClr val="FFFFFF"/>
                        </a:clrFrom>
                        <a:clrTo>
                          <a:srgbClr val="FFFFFF">
                            <a:alpha val="0"/>
                          </a:srgbClr>
                        </a:clrTo>
                      </a:clrChange>
                      <a:extLst>
                        <a:ext uri="{28A0092B-C50C-407E-A947-70E740481C1C}"/>
                      </a:extLst>
                    </a:blip>
                    <a:srcRect/>
                    <a:stretch>
                      <a:fillRect/>
                    </a:stretch>
                  </pic:blipFill>
                  <pic:spPr bwMode="auto">
                    <a:xfrm>
                      <a:off x="0" y="0"/>
                      <a:ext cx="7132320" cy="13887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BUSINESS HIGHLIGHTS</w:t>
      </w:r>
    </w:p>
    <w:p>
      <w:pPr>
        <w:spacing w:after="0" w:line="229" w:lineRule="exact"/>
        <w:rPr>
          <w:sz w:val="20"/>
          <w:szCs w:val="20"/>
          <w:color w:val="auto"/>
        </w:rPr>
      </w:pPr>
    </w:p>
    <w:p>
      <w:pPr>
        <w:ind w:left="340" w:hanging="332"/>
        <w:spacing w:after="0" w:line="277" w:lineRule="auto"/>
        <w:tabs>
          <w:tab w:leader="none" w:pos="340" w:val="left"/>
        </w:tabs>
        <w:numPr>
          <w:ilvl w:val="0"/>
          <w:numId w:val="1"/>
        </w:numPr>
        <w:rPr>
          <w:rFonts w:ascii="Arial" w:cs="Arial" w:eastAsia="Arial" w:hAnsi="Arial"/>
          <w:sz w:val="18"/>
          <w:szCs w:val="18"/>
          <w:color w:val="auto"/>
        </w:rPr>
      </w:pPr>
      <w:r>
        <w:rPr>
          <w:rFonts w:ascii="Arial" w:cs="Arial" w:eastAsia="Arial" w:hAnsi="Arial"/>
          <w:sz w:val="18"/>
          <w:szCs w:val="18"/>
          <w:color w:val="auto"/>
        </w:rPr>
        <w:t>During 2Q20, the Bank collected 99% of all scheduled credit maturities totaling close to $2 billion, coupled with credit prepayments for $222 million, on account of the high quality of its borrower base and the short-term nature of its Commercial Portfolio.</w:t>
      </w:r>
    </w:p>
    <w:p>
      <w:pPr>
        <w:spacing w:after="0" w:line="170" w:lineRule="exact"/>
        <w:rPr>
          <w:rFonts w:ascii="Arial" w:cs="Arial" w:eastAsia="Arial" w:hAnsi="Arial"/>
          <w:sz w:val="18"/>
          <w:szCs w:val="18"/>
          <w:color w:val="auto"/>
        </w:rPr>
      </w:pPr>
    </w:p>
    <w:p>
      <w:pPr>
        <w:ind w:left="340" w:hanging="332"/>
        <w:spacing w:after="0" w:line="277" w:lineRule="auto"/>
        <w:tabs>
          <w:tab w:leader="none" w:pos="340" w:val="left"/>
        </w:tabs>
        <w:numPr>
          <w:ilvl w:val="0"/>
          <w:numId w:val="1"/>
        </w:numPr>
        <w:rPr>
          <w:rFonts w:ascii="Arial" w:cs="Arial" w:eastAsia="Arial" w:hAnsi="Arial"/>
          <w:sz w:val="18"/>
          <w:szCs w:val="18"/>
          <w:color w:val="auto"/>
        </w:rPr>
      </w:pPr>
      <w:r>
        <w:rPr>
          <w:rFonts w:ascii="Arial" w:cs="Arial" w:eastAsia="Arial" w:hAnsi="Arial"/>
          <w:sz w:val="18"/>
          <w:szCs w:val="18"/>
          <w:color w:val="auto"/>
        </w:rPr>
        <w:t>The Bank was able to gain a deep understanding of the impacts of Covid-19 on sectors and clients by country, having been in close contact with most of its client base. It has reassessed the risk profile of its entire portfolio under the current context.</w:t>
      </w:r>
    </w:p>
    <w:p>
      <w:pPr>
        <w:spacing w:after="0" w:line="170" w:lineRule="exact"/>
        <w:rPr>
          <w:rFonts w:ascii="Arial" w:cs="Arial" w:eastAsia="Arial" w:hAnsi="Arial"/>
          <w:sz w:val="18"/>
          <w:szCs w:val="18"/>
          <w:color w:val="auto"/>
        </w:rPr>
      </w:pPr>
    </w:p>
    <w:p>
      <w:pPr>
        <w:jc w:val="both"/>
        <w:ind w:left="340" w:hanging="332"/>
        <w:spacing w:after="0" w:line="263" w:lineRule="auto"/>
        <w:tabs>
          <w:tab w:leader="none" w:pos="340" w:val="left"/>
        </w:tabs>
        <w:numPr>
          <w:ilvl w:val="0"/>
          <w:numId w:val="1"/>
        </w:numPr>
        <w:rPr>
          <w:rFonts w:ascii="Arial" w:cs="Arial" w:eastAsia="Arial" w:hAnsi="Arial"/>
          <w:sz w:val="18"/>
          <w:szCs w:val="18"/>
          <w:color w:val="auto"/>
        </w:rPr>
      </w:pPr>
      <w:r>
        <w:rPr>
          <w:rFonts w:ascii="Arial" w:cs="Arial" w:eastAsia="Arial" w:hAnsi="Arial"/>
          <w:sz w:val="18"/>
          <w:szCs w:val="18"/>
          <w:color w:val="auto"/>
        </w:rPr>
        <w:t>By design, under tighter credit underwriting standards, selective credit disbursements amounting to $1 billion, mostly placed during the second half of 2Q20 – at wider credit spreads – resulted in a reduction in Commercial Portfolio balances, totaling $4.9 billion at June 30, 2020, down 16% QoQ and 21% YoY.</w:t>
      </w:r>
    </w:p>
    <w:p>
      <w:pPr>
        <w:spacing w:after="0" w:line="183" w:lineRule="exact"/>
        <w:rPr>
          <w:rFonts w:ascii="Arial" w:cs="Arial" w:eastAsia="Arial" w:hAnsi="Arial"/>
          <w:sz w:val="18"/>
          <w:szCs w:val="18"/>
          <w:color w:val="auto"/>
        </w:rPr>
      </w:pPr>
    </w:p>
    <w:p>
      <w:pPr>
        <w:jc w:val="both"/>
        <w:ind w:left="340" w:hanging="332"/>
        <w:spacing w:after="0" w:line="259" w:lineRule="auto"/>
        <w:tabs>
          <w:tab w:leader="none" w:pos="340" w:val="left"/>
        </w:tabs>
        <w:numPr>
          <w:ilvl w:val="0"/>
          <w:numId w:val="1"/>
        </w:numPr>
        <w:rPr>
          <w:rFonts w:ascii="Arial" w:cs="Arial" w:eastAsia="Arial" w:hAnsi="Arial"/>
          <w:sz w:val="18"/>
          <w:szCs w:val="18"/>
          <w:color w:val="auto"/>
        </w:rPr>
      </w:pPr>
      <w:r>
        <w:rPr>
          <w:rFonts w:ascii="Arial" w:cs="Arial" w:eastAsia="Arial" w:hAnsi="Arial"/>
          <w:sz w:val="18"/>
          <w:szCs w:val="18"/>
          <w:color w:val="auto"/>
        </w:rPr>
        <w:t>The portfolio continued to be well-diversified and focused on high quality exposures, with 58% in investment grade countries, 52% with financial institutions and 17% with sovereign and state-owned corporations. In addition, the Bank was able to reduce exposure to higher risk sectors now representing 11.1% of the total, from 12.5% in the previous quarter. Specifically, sugar and airline sectors were down by a total of $138 million, to only 1% each, of the total portfolio.</w:t>
      </w:r>
    </w:p>
    <w:p>
      <w:pPr>
        <w:spacing w:after="0" w:line="186" w:lineRule="exact"/>
        <w:rPr>
          <w:rFonts w:ascii="Arial" w:cs="Arial" w:eastAsia="Arial" w:hAnsi="Arial"/>
          <w:sz w:val="18"/>
          <w:szCs w:val="18"/>
          <w:color w:val="auto"/>
        </w:rPr>
      </w:pPr>
    </w:p>
    <w:p>
      <w:pPr>
        <w:jc w:val="both"/>
        <w:ind w:left="340" w:hanging="332"/>
        <w:spacing w:after="0" w:line="257" w:lineRule="auto"/>
        <w:tabs>
          <w:tab w:leader="none" w:pos="340" w:val="left"/>
        </w:tabs>
        <w:numPr>
          <w:ilvl w:val="0"/>
          <w:numId w:val="1"/>
        </w:numPr>
        <w:rPr>
          <w:rFonts w:ascii="Arial" w:cs="Arial" w:eastAsia="Arial" w:hAnsi="Arial"/>
          <w:sz w:val="18"/>
          <w:szCs w:val="18"/>
          <w:color w:val="auto"/>
        </w:rPr>
      </w:pPr>
      <w:r>
        <w:rPr>
          <w:rFonts w:ascii="Arial" w:cs="Arial" w:eastAsia="Arial" w:hAnsi="Arial"/>
          <w:sz w:val="18"/>
          <w:szCs w:val="18"/>
          <w:color w:val="auto"/>
        </w:rPr>
        <w:t>Given the prevailing market uncertainty and deep economic impact of Covid-19, the Bank aimed and was able to maintain a strong liquidity position throughout 2Q20, as a result of its continued and ample access to diversified funding sources. These include its central bank shareholders as well as correspondent banks and capital markets investors throughout the globe. The rapid collection of loan maturities also proved to be an effective liquidity buffer. Liquidity levels reached $2.0 billion at June 30, 2020 (30% of total assets and 68% of total deposits), of which 91% was placed with the Federal Reserve Bank of New York.</w:t>
      </w:r>
    </w:p>
    <w:p>
      <w:pPr>
        <w:spacing w:after="0" w:line="187" w:lineRule="exact"/>
        <w:rPr>
          <w:rFonts w:ascii="Arial" w:cs="Arial" w:eastAsia="Arial" w:hAnsi="Arial"/>
          <w:sz w:val="18"/>
          <w:szCs w:val="18"/>
          <w:color w:val="auto"/>
        </w:rPr>
      </w:pPr>
    </w:p>
    <w:p>
      <w:pPr>
        <w:ind w:left="340" w:hanging="332"/>
        <w:spacing w:after="0" w:line="308" w:lineRule="auto"/>
        <w:tabs>
          <w:tab w:leader="none" w:pos="340" w:val="left"/>
        </w:tabs>
        <w:numPr>
          <w:ilvl w:val="0"/>
          <w:numId w:val="1"/>
        </w:numPr>
        <w:rPr>
          <w:rFonts w:ascii="Arial" w:cs="Arial" w:eastAsia="Arial" w:hAnsi="Arial"/>
          <w:sz w:val="17"/>
          <w:szCs w:val="17"/>
          <w:color w:val="auto"/>
        </w:rPr>
      </w:pPr>
      <w:r>
        <w:rPr>
          <w:rFonts w:ascii="Arial" w:cs="Arial" w:eastAsia="Arial" w:hAnsi="Arial"/>
          <w:sz w:val="17"/>
          <w:szCs w:val="17"/>
          <w:color w:val="auto"/>
        </w:rPr>
        <w:t>As a result of the Bank’s decision to reduce loan balances and maintain increased liquidity levels, its profitability was pressured on lower core income generation. Profit for 2Q20 and 6M20 totaled $14.1 million (-23% QoQ; -37% YoY) and $32.4 million (-26% YoY), respectively.</w:t>
      </w:r>
    </w:p>
    <w:p>
      <w:pPr>
        <w:spacing w:after="0" w:line="146" w:lineRule="exact"/>
        <w:rPr>
          <w:rFonts w:ascii="Arial" w:cs="Arial" w:eastAsia="Arial" w:hAnsi="Arial"/>
          <w:sz w:val="17"/>
          <w:szCs w:val="17"/>
          <w:color w:val="auto"/>
        </w:rPr>
      </w:pPr>
    </w:p>
    <w:p>
      <w:pPr>
        <w:jc w:val="both"/>
        <w:ind w:left="340" w:hanging="332"/>
        <w:spacing w:after="0" w:line="263" w:lineRule="auto"/>
        <w:tabs>
          <w:tab w:leader="none" w:pos="340" w:val="left"/>
        </w:tabs>
        <w:numPr>
          <w:ilvl w:val="0"/>
          <w:numId w:val="1"/>
        </w:numPr>
        <w:rPr>
          <w:rFonts w:ascii="Arial" w:cs="Arial" w:eastAsia="Arial" w:hAnsi="Arial"/>
          <w:sz w:val="18"/>
          <w:szCs w:val="18"/>
          <w:color w:val="auto"/>
        </w:rPr>
      </w:pPr>
      <w:r>
        <w:rPr>
          <w:rFonts w:ascii="Arial" w:cs="Arial" w:eastAsia="Arial" w:hAnsi="Arial"/>
          <w:sz w:val="18"/>
          <w:szCs w:val="18"/>
          <w:color w:val="auto"/>
        </w:rPr>
        <w:t>During 2Q20, the Bank recorded credit provision reversals totaling $2.6 million, mostly related to the sale of its single remaining credit-impaired loan (or NPL), bringing NPL balances to zero at June 20, 2020. At the same date, the Bank’s total allowance for credit losses represented nearly 1% of the total Credit Portfolio.</w:t>
      </w:r>
    </w:p>
    <w:p>
      <w:pPr>
        <w:sectPr>
          <w:pgSz w:w="11900" w:h="16936" w:orient="portrait"/>
          <w:cols w:equalWidth="0" w:num="1">
            <w:col w:w="11180"/>
          </w:cols>
          <w:pgMar w:left="320" w:top="1440" w:right="399" w:bottom="0" w:gutter="0" w:footer="0" w:header="0"/>
        </w:sectPr>
      </w:pPr>
    </w:p>
    <w:bookmarkStart w:id="5" w:name="page6"/>
    <w:bookmarkEnd w:id="5"/>
    <w:p>
      <w:pPr>
        <w:ind w:left="332" w:hanging="332"/>
        <w:spacing w:after="0" w:line="277" w:lineRule="auto"/>
        <w:tabs>
          <w:tab w:leader="none" w:pos="332" w:val="left"/>
        </w:tabs>
        <w:numPr>
          <w:ilvl w:val="0"/>
          <w:numId w:val="2"/>
        </w:numPr>
        <w:rPr>
          <w:rFonts w:ascii="Arial" w:cs="Arial" w:eastAsia="Arial" w:hAnsi="Arial"/>
          <w:sz w:val="18"/>
          <w:szCs w:val="18"/>
          <w:color w:val="auto"/>
        </w:rPr>
      </w:pPr>
      <w:r>
        <w:rPr>
          <w:rFonts w:ascii="Arial" w:cs="Arial" w:eastAsia="Arial" w:hAnsi="Arial"/>
          <w:sz w:val="18"/>
          <w:szCs w:val="18"/>
          <w:color w:val="auto"/>
        </w:rPr>
        <w:t>Credit provision reversals were offset by a $3.9 million loss on financial instruments, mostly related to the unrealized loss of a debt instrument measured at fair value through profit or loss, recorded as part of a loan restructuring back in 2018.</w:t>
      </w:r>
    </w:p>
    <w:p>
      <w:pPr>
        <w:spacing w:after="0" w:line="170" w:lineRule="exact"/>
        <w:rPr>
          <w:rFonts w:ascii="Arial" w:cs="Arial" w:eastAsia="Arial" w:hAnsi="Arial"/>
          <w:sz w:val="18"/>
          <w:szCs w:val="18"/>
          <w:color w:val="auto"/>
        </w:rPr>
      </w:pPr>
    </w:p>
    <w:p>
      <w:pPr>
        <w:ind w:left="332" w:hanging="332"/>
        <w:spacing w:after="0" w:line="277" w:lineRule="auto"/>
        <w:tabs>
          <w:tab w:leader="none" w:pos="332" w:val="left"/>
        </w:tabs>
        <w:numPr>
          <w:ilvl w:val="0"/>
          <w:numId w:val="2"/>
        </w:numPr>
        <w:rPr>
          <w:rFonts w:ascii="Arial" w:cs="Arial" w:eastAsia="Arial" w:hAnsi="Arial"/>
          <w:sz w:val="18"/>
          <w:szCs w:val="18"/>
          <w:color w:val="auto"/>
        </w:rPr>
      </w:pPr>
      <w:r>
        <w:rPr>
          <w:rFonts w:ascii="Arial" w:cs="Arial" w:eastAsia="Arial" w:hAnsi="Arial"/>
          <w:sz w:val="18"/>
          <w:szCs w:val="18"/>
          <w:color w:val="auto"/>
        </w:rPr>
        <w:t>Operating expenses were down $2.3 million, or 22%, on lower personnel expenses, mostly due to decreased performance-based variable compensation provision.</w:t>
      </w:r>
    </w:p>
    <w:p>
      <w:pPr>
        <w:spacing w:after="0" w:line="170" w:lineRule="exact"/>
        <w:rPr>
          <w:rFonts w:ascii="Arial" w:cs="Arial" w:eastAsia="Arial" w:hAnsi="Arial"/>
          <w:sz w:val="18"/>
          <w:szCs w:val="18"/>
          <w:color w:val="auto"/>
        </w:rPr>
      </w:pPr>
    </w:p>
    <w:p>
      <w:pPr>
        <w:ind w:left="332" w:hanging="332"/>
        <w:spacing w:after="0" w:line="277" w:lineRule="auto"/>
        <w:tabs>
          <w:tab w:leader="none" w:pos="332" w:val="left"/>
        </w:tabs>
        <w:numPr>
          <w:ilvl w:val="0"/>
          <w:numId w:val="2"/>
        </w:numPr>
        <w:rPr>
          <w:rFonts w:ascii="Arial" w:cs="Arial" w:eastAsia="Arial" w:hAnsi="Arial"/>
          <w:sz w:val="18"/>
          <w:szCs w:val="18"/>
          <w:color w:val="auto"/>
        </w:rPr>
      </w:pPr>
      <w:r>
        <w:rPr>
          <w:rFonts w:ascii="Arial" w:cs="Arial" w:eastAsia="Arial" w:hAnsi="Arial"/>
          <w:sz w:val="18"/>
          <w:szCs w:val="18"/>
          <w:color w:val="auto"/>
        </w:rPr>
        <w:t>The Bank’s Tier 1 Basel III Capital Ratio strengthened to 24.8% at the end of 2Q20, resulting from lower risk-weighted assets on decreased Commercial Portfolio balances, while the equity base remained stable at over $1 billion.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391795</wp:posOffset>
            </wp:positionV>
            <wp:extent cx="7132320" cy="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172"/>
          </w:cols>
          <w:pgMar w:left="328" w:top="341" w:right="399" w:bottom="1440" w:gutter="0" w:footer="0" w:header="0"/>
        </w:sectPr>
      </w:pPr>
    </w:p>
    <w:bookmarkStart w:id="6" w:name="page7"/>
    <w:bookmarkEnd w:id="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208280</wp:posOffset>
            </wp:positionH>
            <wp:positionV relativeFrom="page">
              <wp:posOffset>2849245</wp:posOffset>
            </wp:positionV>
            <wp:extent cx="7132320" cy="13887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clrChange>
                        <a:clrFrom>
                          <a:srgbClr val="FFFFFF"/>
                        </a:clrFrom>
                        <a:clrTo>
                          <a:srgbClr val="FFFFFF">
                            <a:alpha val="0"/>
                          </a:srgbClr>
                        </a:clrTo>
                      </a:clrChange>
                      <a:extLst>
                        <a:ext uri="{28A0092B-C50C-407E-A947-70E740481C1C}"/>
                      </a:extLst>
                    </a:blip>
                    <a:srcRect/>
                    <a:stretch>
                      <a:fillRect/>
                    </a:stretch>
                  </pic:blipFill>
                  <pic:spPr bwMode="auto">
                    <a:xfrm>
                      <a:off x="0" y="0"/>
                      <a:ext cx="7132320" cy="13887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CEO’s Comments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Mr. Jorge Salas, Bladex’s Chief Executive Officer said:</w:t>
      </w:r>
    </w:p>
    <w:p>
      <w:pPr>
        <w:spacing w:after="0" w:line="225"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“Beyond Bladex’s financial strength on its historically solid capital levels, our business model allows for a unique possibility to adapt to rapidly changing market conditions in a very agile manner. Catering exclusively to corporate clients, most of which are industry leaders with robust corporate governance practices and solid financials, significantly reduces the credit risk in our portfolio.</w:t>
      </w:r>
    </w:p>
    <w:p>
      <w:pPr>
        <w:spacing w:after="0" w:line="184"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Moreover, the short-term nature of our portfolio – having more than 70% maturing within the next year – becomes an effective liquidity buffer, especially relevant in the current context; when combined with our regional foot-print, it allows the Bank to swiftly relocate the portfolio in resilient sectors and countries across Latin America.</w:t>
      </w:r>
    </w:p>
    <w:p>
      <w:pPr>
        <w:spacing w:after="0" w:line="184"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Since the onset of the COVID-19 crisis, we have collected over $2 billion, representing 99% of total scheduled maturities, a clear demonstration of the credit quality of our portfolio. In turn, after re-assessing the risk of our portfolio by industry under the COVID-19 and contacting almost every single client, we tightened our underwriting standards and selectively disbursed around $1 billion in new loans, at shorter tenors and wider risk-adjusted credit spreads in defensive sectors and clients, with a focus in lower risk countries.</w:t>
      </w:r>
    </w:p>
    <w:p>
      <w:pPr>
        <w:spacing w:after="0" w:line="187"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On the funding side, our deposits increased on account of the continuous support of our central bank shareholders, we continued to have ample access to bilateral funding sources, and we successfully tapped the debt capital markets with an approximate $230 million USD equivalent issuance in local currency in Mexico. We have now a stronger funding structure, with increased tenors while maintaining ample diversification.</w:t>
      </w:r>
    </w:p>
    <w:p>
      <w:pPr>
        <w:spacing w:after="0" w:line="165" w:lineRule="exact"/>
        <w:rPr>
          <w:sz w:val="20"/>
          <w:szCs w:val="20"/>
          <w:color w:val="auto"/>
        </w:rPr>
      </w:pPr>
    </w:p>
    <w:p>
      <w:pPr>
        <w:spacing w:after="0"/>
        <w:rPr>
          <w:sz w:val="20"/>
          <w:szCs w:val="20"/>
          <w:color w:val="auto"/>
        </w:rPr>
      </w:pPr>
      <w:r>
        <w:rPr>
          <w:rFonts w:ascii="Arial" w:cs="Arial" w:eastAsia="Arial" w:hAnsi="Arial"/>
          <w:sz w:val="18"/>
          <w:szCs w:val="18"/>
          <w:color w:val="auto"/>
        </w:rPr>
        <w:t>As a result, by design, we have been able to maintain a solid liquidity position throughout the quarter, in view of current uncertainty.</w:t>
      </w:r>
    </w:p>
    <w:p>
      <w:pPr>
        <w:spacing w:after="0" w:line="225" w:lineRule="exact"/>
        <w:rPr>
          <w:sz w:val="20"/>
          <w:szCs w:val="20"/>
          <w:color w:val="auto"/>
        </w:rPr>
      </w:pPr>
    </w:p>
    <w:p>
      <w:pPr>
        <w:jc w:val="both"/>
        <w:spacing w:after="0" w:line="301" w:lineRule="auto"/>
        <w:rPr>
          <w:sz w:val="20"/>
          <w:szCs w:val="20"/>
          <w:color w:val="auto"/>
        </w:rPr>
      </w:pPr>
      <w:r>
        <w:rPr>
          <w:rFonts w:ascii="Arial" w:cs="Arial" w:eastAsia="Arial" w:hAnsi="Arial"/>
          <w:sz w:val="16"/>
          <w:szCs w:val="16"/>
          <w:color w:val="auto"/>
        </w:rPr>
        <w:t>The high quality of our client base and the levers embedded in Bladex’s business model have allowed us to successfully navigate this crisis up until now. Having said that, we are cognizant of the significant challenges that lie ahead, with a 2020 GDP estimate for the region close to negative 9.5%. We believe that our 40-year experience in the Region, including several negative credit cycles, and our good understanding of the impacts and macroeconomic dynamics in every country, play to our advantage. We are committed to continue to support our clients, for whom we have been long-standing allies.”</w:t>
      </w:r>
    </w:p>
    <w:p>
      <w:pPr>
        <w:sectPr>
          <w:pgSz w:w="11900" w:h="16838" w:orient="portrait"/>
          <w:cols w:equalWidth="0" w:num="1">
            <w:col w:w="11160"/>
          </w:cols>
          <w:pgMar w:left="320" w:top="1440" w:right="419" w:bottom="0" w:gutter="0" w:footer="0" w:header="0"/>
        </w:sectPr>
      </w:pPr>
    </w:p>
    <w:bookmarkStart w:id="7" w:name="page8"/>
    <w:bookmarkEnd w:id="7"/>
    <w:p>
      <w:pPr>
        <w:jc w:val="both"/>
        <w:spacing w:after="0" w:line="301" w:lineRule="auto"/>
        <w:rPr>
          <w:sz w:val="20"/>
          <w:szCs w:val="20"/>
          <w:color w:val="auto"/>
        </w:rPr>
      </w:pPr>
      <w:r>
        <w:rPr>
          <w:sz w:val="20"/>
          <w:szCs w:val="20"/>
          <w:color w:val="auto"/>
        </w:rPr>
        <w:drawing>
          <wp:anchor simplePos="0" relativeHeight="251657728" behindDoc="1" locked="0" layoutInCell="0" allowOverlap="1">
            <wp:simplePos x="0" y="0"/>
            <wp:positionH relativeFrom="page">
              <wp:posOffset>208280</wp:posOffset>
            </wp:positionH>
            <wp:positionV relativeFrom="page">
              <wp:posOffset>226060</wp:posOffset>
            </wp:positionV>
            <wp:extent cx="7132320" cy="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1" w:num="1" w:space="0"/>
          <w:pgMar w:left="1440" w:top="1440" w:right="1440" w:bottom="875" w:gutter="0" w:footer="0" w:header="0"/>
        </w:sectPr>
      </w:pPr>
    </w:p>
    <w:bookmarkStart w:id="8" w:name="page9"/>
    <w:bookmarkEnd w:id="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208280</wp:posOffset>
            </wp:positionH>
            <wp:positionV relativeFrom="page">
              <wp:posOffset>3020695</wp:posOffset>
            </wp:positionV>
            <wp:extent cx="7132320" cy="10458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clrChange>
                        <a:clrFrom>
                          <a:srgbClr val="FFFFFF"/>
                        </a:clrFrom>
                        <a:clrTo>
                          <a:srgbClr val="FFFFFF">
                            <a:alpha val="0"/>
                          </a:srgbClr>
                        </a:clrTo>
                      </a:clrChange>
                      <a:extLst>
                        <a:ext uri="{28A0092B-C50C-407E-A947-70E740481C1C}"/>
                      </a:extLst>
                    </a:blip>
                    <a:srcRect/>
                    <a:stretch>
                      <a:fillRect/>
                    </a:stretch>
                  </pic:blipFill>
                  <pic:spPr bwMode="auto">
                    <a:xfrm>
                      <a:off x="0" y="0"/>
                      <a:ext cx="7132320" cy="10458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RECENT EVENTS</w:t>
      </w:r>
    </w:p>
    <w:p>
      <w:pPr>
        <w:spacing w:after="0" w:line="225" w:lineRule="exact"/>
        <w:rPr>
          <w:sz w:val="20"/>
          <w:szCs w:val="20"/>
          <w:color w:val="auto"/>
        </w:rPr>
      </w:pPr>
    </w:p>
    <w:p>
      <w:pPr>
        <w:ind w:left="660" w:hanging="328"/>
        <w:spacing w:after="0" w:line="347" w:lineRule="auto"/>
        <w:tabs>
          <w:tab w:leader="none" w:pos="660" w:val="left"/>
        </w:tabs>
        <w:numPr>
          <w:ilvl w:val="0"/>
          <w:numId w:val="3"/>
        </w:numPr>
        <w:rPr>
          <w:rFonts w:ascii="Arial" w:cs="Arial" w:eastAsia="Arial" w:hAnsi="Arial"/>
          <w:sz w:val="16"/>
          <w:szCs w:val="16"/>
          <w:color w:val="auto"/>
        </w:rPr>
      </w:pPr>
      <w:r>
        <w:rPr>
          <w:rFonts w:ascii="Arial" w:cs="Arial" w:eastAsia="Arial" w:hAnsi="Arial"/>
          <w:sz w:val="16"/>
          <w:szCs w:val="16"/>
          <w:b w:val="1"/>
          <w:bCs w:val="1"/>
          <w:color w:val="auto"/>
        </w:rPr>
        <w:t xml:space="preserve">Quarterly dividend payment: </w:t>
      </w:r>
      <w:r>
        <w:rPr>
          <w:rFonts w:ascii="Arial" w:cs="Arial" w:eastAsia="Arial" w:hAnsi="Arial"/>
          <w:sz w:val="16"/>
          <w:szCs w:val="16"/>
          <w:color w:val="auto"/>
        </w:rPr>
        <w:t>The Bank’s Board of Directors (the “Board”) approved a quarterly common dividend of $0.25 per share</w:t>
      </w:r>
      <w:r>
        <w:rPr>
          <w:rFonts w:ascii="Arial" w:cs="Arial" w:eastAsia="Arial" w:hAnsi="Arial"/>
          <w:sz w:val="16"/>
          <w:szCs w:val="16"/>
          <w:b w:val="1"/>
          <w:bCs w:val="1"/>
          <w:color w:val="auto"/>
        </w:rPr>
        <w:t xml:space="preserve"> </w:t>
      </w:r>
      <w:r>
        <w:rPr>
          <w:rFonts w:ascii="Arial" w:cs="Arial" w:eastAsia="Arial" w:hAnsi="Arial"/>
          <w:sz w:val="16"/>
          <w:szCs w:val="16"/>
          <w:color w:val="auto"/>
        </w:rPr>
        <w:t>corresponding to the second quarter 2020. The cash dividend will be paid on August 25, 2020, to shareholders registered as of August 10, 2020.</w:t>
      </w:r>
    </w:p>
    <w:p>
      <w:pPr>
        <w:spacing w:after="0" w:line="115" w:lineRule="exact"/>
        <w:rPr>
          <w:rFonts w:ascii="Arial" w:cs="Arial" w:eastAsia="Arial" w:hAnsi="Arial"/>
          <w:sz w:val="16"/>
          <w:szCs w:val="16"/>
          <w:color w:val="auto"/>
        </w:rPr>
      </w:pPr>
    </w:p>
    <w:p>
      <w:pPr>
        <w:ind w:left="660" w:right="20" w:hanging="328"/>
        <w:spacing w:after="0" w:line="261" w:lineRule="auto"/>
        <w:tabs>
          <w:tab w:leader="none" w:pos="660" w:val="left"/>
        </w:tabs>
        <w:numPr>
          <w:ilvl w:val="0"/>
          <w:numId w:val="3"/>
        </w:numPr>
        <w:rPr>
          <w:rFonts w:ascii="Arial" w:cs="Arial" w:eastAsia="Arial" w:hAnsi="Arial"/>
          <w:sz w:val="18"/>
          <w:szCs w:val="18"/>
          <w:color w:val="auto"/>
        </w:rPr>
      </w:pPr>
      <w:r>
        <w:rPr>
          <w:rFonts w:ascii="Arial" w:cs="Arial" w:eastAsia="Arial" w:hAnsi="Arial"/>
          <w:sz w:val="18"/>
          <w:szCs w:val="18"/>
          <w:b w:val="1"/>
          <w:bCs w:val="1"/>
          <w:color w:val="auto"/>
        </w:rPr>
        <w:t xml:space="preserve">Ratings updates: </w:t>
      </w:r>
      <w:r>
        <w:rPr>
          <w:rFonts w:ascii="Arial" w:cs="Arial" w:eastAsia="Arial" w:hAnsi="Arial"/>
          <w:sz w:val="18"/>
          <w:szCs w:val="18"/>
          <w:color w:val="auto"/>
        </w:rPr>
        <w:t>On June 18, 2020, Fitch Ratings downgraded the Bank’s Long-Term Foreign Currency Issuer Default Rating (IDR) to 'BBB'</w:t>
      </w:r>
      <w:r>
        <w:rPr>
          <w:rFonts w:ascii="Arial" w:cs="Arial" w:eastAsia="Arial" w:hAnsi="Arial"/>
          <w:sz w:val="18"/>
          <w:szCs w:val="18"/>
          <w:b w:val="1"/>
          <w:bCs w:val="1"/>
          <w:color w:val="auto"/>
        </w:rPr>
        <w:t xml:space="preserve"> </w:t>
      </w:r>
      <w:r>
        <w:rPr>
          <w:rFonts w:ascii="Arial" w:cs="Arial" w:eastAsia="Arial" w:hAnsi="Arial"/>
          <w:sz w:val="18"/>
          <w:szCs w:val="18"/>
          <w:color w:val="auto"/>
        </w:rPr>
        <w:t>from 'BBB+', and Short-Term IDR to 'F3' from 'F2'. The outlook on the Long-Term IDRs remains Negative.</w:t>
      </w:r>
    </w:p>
    <w:p>
      <w:pPr>
        <w:ind w:left="660" w:right="80"/>
        <w:spacing w:after="0" w:line="260" w:lineRule="auto"/>
        <w:rPr>
          <w:rFonts w:ascii="Arial" w:cs="Arial" w:eastAsia="Arial" w:hAnsi="Arial"/>
          <w:sz w:val="18"/>
          <w:szCs w:val="18"/>
          <w:color w:val="auto"/>
        </w:rPr>
      </w:pPr>
      <w:r>
        <w:rPr>
          <w:rFonts w:ascii="Arial" w:cs="Arial" w:eastAsia="Arial" w:hAnsi="Arial"/>
          <w:sz w:val="18"/>
          <w:szCs w:val="18"/>
          <w:color w:val="auto"/>
        </w:rPr>
        <w:t>Furthermore, on May 27, 2020, Moody’s Investor Services reaffirmed all the Bank’s ratings, including its ‘Baa2/P-2’ long and short-term foreign currency deposit ratings, respectively. The outlook on the ratings was changed to stable from negative.</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w:t>
      </w:r>
    </w:p>
    <w:p>
      <w:pPr>
        <w:spacing w:after="0" w:line="229" w:lineRule="exact"/>
        <w:rPr>
          <w:sz w:val="20"/>
          <w:szCs w:val="20"/>
          <w:color w:val="auto"/>
        </w:rPr>
      </w:pPr>
    </w:p>
    <w:p>
      <w:pPr>
        <w:ind w:left="660" w:hanging="328"/>
        <w:spacing w:after="0"/>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color w:val="auto"/>
        </w:rPr>
        <w:t>Numbers and percentages set forth in this earnings release have been rounded and accordingly may not total exactly.</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color w:val="auto"/>
        </w:rPr>
        <w:t>QoQ and YoY refer to quarter-on-quarter and year-on-year variations, respectively.</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Footnotes:</w:t>
      </w:r>
    </w:p>
    <w:p>
      <w:pPr>
        <w:spacing w:after="0" w:line="229" w:lineRule="exact"/>
        <w:rPr>
          <w:sz w:val="20"/>
          <w:szCs w:val="20"/>
          <w:color w:val="auto"/>
        </w:rPr>
      </w:pPr>
    </w:p>
    <w:p>
      <w:pPr>
        <w:ind w:left="660" w:hanging="328"/>
        <w:spacing w:after="0"/>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Earnings per Share (“EPS”) calculation is based on the average number of shares outstanding during each period.</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ROAE refers to return on average stockholders’ equity which is calculated on the basis of unaudited daily average balances.</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5"/>
        </w:numPr>
        <w:rPr>
          <w:rFonts w:ascii="Arial" w:cs="Arial" w:eastAsia="Arial" w:hAnsi="Arial"/>
          <w:sz w:val="17"/>
          <w:szCs w:val="17"/>
          <w:color w:val="auto"/>
        </w:rPr>
      </w:pPr>
      <w:r>
        <w:rPr>
          <w:rFonts w:ascii="Arial" w:cs="Arial" w:eastAsia="Arial" w:hAnsi="Arial"/>
          <w:sz w:val="17"/>
          <w:szCs w:val="17"/>
          <w:color w:val="auto"/>
        </w:rPr>
        <w:t>NIM refers to net interest margin which constitutes to Net Interest Income (“NII”) divided by the average balance of interest-earning assets.</w:t>
      </w:r>
    </w:p>
    <w:p>
      <w:pPr>
        <w:spacing w:after="0" w:line="236" w:lineRule="exact"/>
        <w:rPr>
          <w:rFonts w:ascii="Arial" w:cs="Arial" w:eastAsia="Arial" w:hAnsi="Arial"/>
          <w:sz w:val="17"/>
          <w:szCs w:val="17"/>
          <w:color w:val="auto"/>
        </w:rPr>
      </w:pPr>
    </w:p>
    <w:p>
      <w:pPr>
        <w:ind w:left="660" w:right="80" w:hanging="328"/>
        <w:spacing w:after="0" w:line="277" w:lineRule="auto"/>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NIS refers to net interest spread which constitutes the average yield earned on interest-earning assets, less the average yield paid on interest-bearing liabilities.</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Efficiency Ratio refers to consolidated operating expenses as a percentage of total revenues.</w:t>
      </w:r>
    </w:p>
    <w:p>
      <w:pPr>
        <w:sectPr>
          <w:pgSz w:w="11900" w:h="16838" w:orient="portrait"/>
          <w:cols w:equalWidth="0" w:num="1">
            <w:col w:w="11240"/>
          </w:cols>
          <w:pgMar w:left="320" w:top="1440" w:right="339" w:bottom="0" w:gutter="0" w:footer="0" w:header="0"/>
        </w:sectPr>
      </w:pPr>
    </w:p>
    <w:bookmarkStart w:id="9" w:name="page10"/>
    <w:bookmarkEnd w:id="9"/>
    <w:p>
      <w:pPr>
        <w:jc w:val="both"/>
        <w:ind w:left="328" w:hanging="328"/>
        <w:spacing w:after="0" w:line="286" w:lineRule="auto"/>
        <w:tabs>
          <w:tab w:leader="none" w:pos="328" w:val="left"/>
        </w:tabs>
        <w:numPr>
          <w:ilvl w:val="0"/>
          <w:numId w:val="6"/>
        </w:numPr>
        <w:rPr>
          <w:rFonts w:ascii="Arial" w:cs="Arial" w:eastAsia="Arial" w:hAnsi="Arial"/>
          <w:sz w:val="17"/>
          <w:szCs w:val="17"/>
          <w:color w:val="auto"/>
        </w:rPr>
      </w:pPr>
      <w:r>
        <w:rPr>
          <w:rFonts w:ascii="Arial" w:cs="Arial" w:eastAsia="Arial" w:hAnsi="Arial"/>
          <w:sz w:val="17"/>
          <w:szCs w:val="17"/>
          <w:color w:val="auto"/>
        </w:rPr>
        <w:t>The Bank’s “Credit Portfolio” includes gross loans (or the “Loan Portfolio”), securities at FVOCI and at amortized cost, gross of interest receivable and the allowance for expected credit losses, loan commitments and financial guarantee contracts, such as confirmed and stand-by letters of credit, and guarantees covering commercial risk; and other assets consisting of customers’ liabilities under acceptances.</w:t>
      </w:r>
    </w:p>
    <w:p>
      <w:pPr>
        <w:spacing w:after="0" w:line="165" w:lineRule="exact"/>
        <w:rPr>
          <w:rFonts w:ascii="Arial" w:cs="Arial" w:eastAsia="Arial" w:hAnsi="Arial"/>
          <w:sz w:val="17"/>
          <w:szCs w:val="17"/>
          <w:color w:val="auto"/>
        </w:rPr>
      </w:pPr>
    </w:p>
    <w:p>
      <w:pPr>
        <w:jc w:val="both"/>
        <w:ind w:left="328" w:hanging="328"/>
        <w:spacing w:after="0" w:line="263" w:lineRule="auto"/>
        <w:tabs>
          <w:tab w:leader="none" w:pos="328" w:val="left"/>
        </w:tabs>
        <w:numPr>
          <w:ilvl w:val="0"/>
          <w:numId w:val="6"/>
        </w:numPr>
        <w:rPr>
          <w:rFonts w:ascii="Arial" w:cs="Arial" w:eastAsia="Arial" w:hAnsi="Arial"/>
          <w:sz w:val="18"/>
          <w:szCs w:val="18"/>
          <w:color w:val="auto"/>
        </w:rPr>
      </w:pPr>
      <w:r>
        <w:rPr>
          <w:rFonts w:ascii="Arial" w:cs="Arial" w:eastAsia="Arial" w:hAnsi="Arial"/>
          <w:sz w:val="18"/>
          <w:szCs w:val="18"/>
          <w:color w:val="auto"/>
        </w:rPr>
        <w:t>The Bank’s “Commercial Portfolio” includes gross loans (or the “Loan Portfolio”), loan commitments and financial guarantee contracts, such as issued and confirmed letters of credit, stand-by letters of credit, guarantees covering commercial risk and other assets consisting of customers’ liabilities under acceptances.</w:t>
      </w:r>
    </w:p>
    <w:p>
      <w:pPr>
        <w:spacing w:after="0" w:line="183" w:lineRule="exact"/>
        <w:rPr>
          <w:rFonts w:ascii="Arial" w:cs="Arial" w:eastAsia="Arial" w:hAnsi="Arial"/>
          <w:sz w:val="18"/>
          <w:szCs w:val="18"/>
          <w:color w:val="auto"/>
        </w:rPr>
      </w:pPr>
    </w:p>
    <w:p>
      <w:pPr>
        <w:ind w:left="328" w:hanging="328"/>
        <w:spacing w:after="0"/>
        <w:tabs>
          <w:tab w:leader="none" w:pos="328" w:val="left"/>
        </w:tabs>
        <w:numPr>
          <w:ilvl w:val="0"/>
          <w:numId w:val="6"/>
        </w:numPr>
        <w:rPr>
          <w:rFonts w:ascii="Arial" w:cs="Arial" w:eastAsia="Arial" w:hAnsi="Arial"/>
          <w:sz w:val="16"/>
          <w:szCs w:val="16"/>
          <w:color w:val="auto"/>
        </w:rPr>
      </w:pPr>
      <w:r>
        <w:rPr>
          <w:rFonts w:ascii="Arial" w:cs="Arial" w:eastAsia="Arial" w:hAnsi="Arial"/>
          <w:sz w:val="16"/>
          <w:szCs w:val="16"/>
          <w:color w:val="auto"/>
        </w:rPr>
        <w:t>Market capitalization corresponds to total outstanding common shares multiplied by market close price at the end of each corresponding period.</w:t>
      </w:r>
    </w:p>
    <w:p>
      <w:pPr>
        <w:spacing w:after="0" w:line="248" w:lineRule="exact"/>
        <w:rPr>
          <w:rFonts w:ascii="Arial" w:cs="Arial" w:eastAsia="Arial" w:hAnsi="Arial"/>
          <w:sz w:val="16"/>
          <w:szCs w:val="16"/>
          <w:color w:val="auto"/>
        </w:rPr>
      </w:pPr>
    </w:p>
    <w:p>
      <w:pPr>
        <w:jc w:val="both"/>
        <w:ind w:left="328" w:right="20" w:hanging="328"/>
        <w:spacing w:after="0" w:line="263" w:lineRule="auto"/>
        <w:tabs>
          <w:tab w:leader="none" w:pos="328" w:val="left"/>
        </w:tabs>
        <w:numPr>
          <w:ilvl w:val="0"/>
          <w:numId w:val="6"/>
        </w:numPr>
        <w:rPr>
          <w:rFonts w:ascii="Arial" w:cs="Arial" w:eastAsia="Arial" w:hAnsi="Arial"/>
          <w:sz w:val="18"/>
          <w:szCs w:val="18"/>
          <w:color w:val="auto"/>
        </w:rPr>
      </w:pPr>
      <w:r>
        <w:rPr>
          <w:rFonts w:ascii="Arial" w:cs="Arial" w:eastAsia="Arial" w:hAnsi="Arial"/>
          <w:sz w:val="18"/>
          <w:szCs w:val="18"/>
          <w:color w:val="auto"/>
        </w:rPr>
        <w:t>Tier 1 Capital is calculated according to Basel III capital adequacy guidelines and is equivalent to stockholders’ equity excluding certain effects such as the OCI effect of the financial instruments at fair value through OCI. Tier 1 Capital ratio is calculated as a percentage of risk-weighted assets. Risk-weighted assets are estimated based on Basel III capital adequacy guidelines.</w:t>
      </w:r>
    </w:p>
    <w:p>
      <w:pPr>
        <w:spacing w:after="0" w:line="183" w:lineRule="exact"/>
        <w:rPr>
          <w:rFonts w:ascii="Arial" w:cs="Arial" w:eastAsia="Arial" w:hAnsi="Arial"/>
          <w:sz w:val="18"/>
          <w:szCs w:val="18"/>
          <w:color w:val="auto"/>
        </w:rPr>
      </w:pPr>
    </w:p>
    <w:p>
      <w:pPr>
        <w:ind w:left="328" w:hanging="328"/>
        <w:spacing w:after="0" w:line="277" w:lineRule="auto"/>
        <w:tabs>
          <w:tab w:leader="none" w:pos="328" w:val="left"/>
        </w:tabs>
        <w:numPr>
          <w:ilvl w:val="0"/>
          <w:numId w:val="6"/>
        </w:numPr>
        <w:rPr>
          <w:rFonts w:ascii="Arial" w:cs="Arial" w:eastAsia="Arial" w:hAnsi="Arial"/>
          <w:sz w:val="18"/>
          <w:szCs w:val="18"/>
          <w:color w:val="auto"/>
        </w:rPr>
      </w:pPr>
      <w:r>
        <w:rPr>
          <w:rFonts w:ascii="Arial" w:cs="Arial" w:eastAsia="Arial" w:hAnsi="Arial"/>
          <w:sz w:val="18"/>
          <w:szCs w:val="18"/>
          <w:color w:val="auto"/>
        </w:rPr>
        <w:t>Liquid assets refer to total cash and due from banks, consisting of cash and due from banks and interest-bearing deposits in banks, excluding pledged deposits and margin calls. Liquidity ratio refers to liquid assets as a percentage of total assets.</w:t>
      </w:r>
    </w:p>
    <w:p>
      <w:pPr>
        <w:spacing w:after="0" w:line="170" w:lineRule="exact"/>
        <w:rPr>
          <w:rFonts w:ascii="Arial" w:cs="Arial" w:eastAsia="Arial" w:hAnsi="Arial"/>
          <w:sz w:val="18"/>
          <w:szCs w:val="18"/>
          <w:color w:val="auto"/>
        </w:rPr>
      </w:pPr>
    </w:p>
    <w:p>
      <w:pPr>
        <w:ind w:left="328" w:right="20" w:hanging="328"/>
        <w:spacing w:after="0" w:line="277" w:lineRule="auto"/>
        <w:tabs>
          <w:tab w:leader="none" w:pos="328" w:val="left"/>
        </w:tabs>
        <w:numPr>
          <w:ilvl w:val="0"/>
          <w:numId w:val="6"/>
        </w:numPr>
        <w:rPr>
          <w:rFonts w:ascii="Arial" w:cs="Arial" w:eastAsia="Arial" w:hAnsi="Arial"/>
          <w:sz w:val="18"/>
          <w:szCs w:val="18"/>
          <w:color w:val="auto"/>
        </w:rPr>
      </w:pPr>
      <w:r>
        <w:rPr>
          <w:rFonts w:ascii="Arial" w:cs="Arial" w:eastAsia="Arial" w:hAnsi="Arial"/>
          <w:sz w:val="18"/>
          <w:szCs w:val="18"/>
          <w:color w:val="auto"/>
        </w:rPr>
        <w:t>Credit-impaired loans are also commonly referred to as Non-Performing Loans or NPLs. Loan Portfolio refers to gross loans, excluding interest receivable, the allowance for loan losses, and unearned interest and deferred fees.</w:t>
      </w:r>
    </w:p>
    <w:p>
      <w:pPr>
        <w:spacing w:after="0" w:line="170" w:lineRule="exact"/>
        <w:rPr>
          <w:rFonts w:ascii="Arial" w:cs="Arial" w:eastAsia="Arial" w:hAnsi="Arial"/>
          <w:sz w:val="18"/>
          <w:szCs w:val="18"/>
          <w:color w:val="auto"/>
        </w:rPr>
      </w:pPr>
    </w:p>
    <w:p>
      <w:pPr>
        <w:ind w:left="328" w:right="20" w:hanging="328"/>
        <w:spacing w:after="0" w:line="277" w:lineRule="auto"/>
        <w:tabs>
          <w:tab w:leader="none" w:pos="328" w:val="left"/>
        </w:tabs>
        <w:numPr>
          <w:ilvl w:val="0"/>
          <w:numId w:val="6"/>
        </w:numPr>
        <w:rPr>
          <w:rFonts w:ascii="Arial" w:cs="Arial" w:eastAsia="Arial" w:hAnsi="Arial"/>
          <w:sz w:val="18"/>
          <w:szCs w:val="18"/>
          <w:color w:val="auto"/>
        </w:rPr>
      </w:pPr>
      <w:r>
        <w:rPr>
          <w:rFonts w:ascii="Arial" w:cs="Arial" w:eastAsia="Arial" w:hAnsi="Arial"/>
          <w:sz w:val="18"/>
          <w:szCs w:val="18"/>
          <w:color w:val="auto"/>
        </w:rPr>
        <w:t>Total allowance for losses refers to allowance for loan losses plus allowance for loan commitments and financial guarantee contract losses and allowance for investment securities losses.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-205105</wp:posOffset>
            </wp:positionH>
            <wp:positionV relativeFrom="paragraph">
              <wp:posOffset>391795</wp:posOffset>
            </wp:positionV>
            <wp:extent cx="7132320" cy="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828"/>
          </w:cols>
          <w:pgMar w:left="652" w:top="125" w:right="419" w:bottom="1440" w:gutter="0" w:footer="0" w:header="0"/>
        </w:sectPr>
      </w:pPr>
    </w:p>
    <w:bookmarkStart w:id="10" w:name="page11"/>
    <w:bookmarkEnd w:id="1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208280</wp:posOffset>
            </wp:positionH>
            <wp:positionV relativeFrom="page">
              <wp:posOffset>3020695</wp:posOffset>
            </wp:positionV>
            <wp:extent cx="7132320" cy="10458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clrChange>
                        <a:clrFrom>
                          <a:srgbClr val="FFFFFF"/>
                        </a:clrFrom>
                        <a:clrTo>
                          <a:srgbClr val="FFFFFF">
                            <a:alpha val="0"/>
                          </a:srgbClr>
                        </a:clrTo>
                      </a:clrChange>
                      <a:extLst>
                        <a:ext uri="{28A0092B-C50C-407E-A947-70E740481C1C}"/>
                      </a:extLst>
                    </a:blip>
                    <a:srcRect/>
                    <a:stretch>
                      <a:fillRect/>
                    </a:stretch>
                  </pic:blipFill>
                  <pic:spPr bwMode="auto">
                    <a:xfrm>
                      <a:off x="0" y="0"/>
                      <a:ext cx="7132320" cy="10458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SAFE HARBOR STATEMENT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152400</wp:posOffset>
            </wp:positionV>
            <wp:extent cx="7136130" cy="222440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36130" cy="2224405"/>
                    </a:xfrm>
                    <a:prstGeom prst="rect">
                      <a:avLst/>
                    </a:prstGeom>
                    <a:noFill/>
                  </pic:spPr>
                </pic:pic>
              </a:graphicData>
            </a:graphic>
          </wp:anchor>
        </w:drawing>
      </w:r>
    </w:p>
    <w:p>
      <w:pPr>
        <w:spacing w:after="0" w:line="223" w:lineRule="exact"/>
        <w:rPr>
          <w:sz w:val="20"/>
          <w:szCs w:val="20"/>
          <w:color w:val="auto"/>
        </w:rPr>
      </w:pPr>
    </w:p>
    <w:p>
      <w:pPr>
        <w:jc w:val="both"/>
        <w:ind w:left="20"/>
        <w:spacing w:after="0" w:line="285" w:lineRule="auto"/>
        <w:rPr>
          <w:sz w:val="20"/>
          <w:szCs w:val="20"/>
          <w:color w:val="auto"/>
        </w:rPr>
      </w:pPr>
      <w:r>
        <w:rPr>
          <w:rFonts w:ascii="Arial" w:cs="Arial" w:eastAsia="Arial" w:hAnsi="Arial"/>
          <w:sz w:val="16"/>
          <w:szCs w:val="16"/>
          <w:i w:val="1"/>
          <w:iCs w:val="1"/>
          <w:color w:val="auto"/>
        </w:rPr>
        <w:t>This press release contains forward-looking statements of expected future developments within the meaning of the Private Securities Litigation Reform Act of 1995 and Section 21E of the Securities Exchange Act of 1934. Forward-looking statements can be identified by words such as: “anticipate”, “intend”, “plan”, “goal”, “seek”, “believe”, “project”, “estimate”, “expect”, “strategy”, “future”, “likely”, “may”, “should”, “will” and similar references to future periods. The forward-looking statements in this press release include the Bank’s financial position, asset quality and profitability, among others. These forward-looking statements reflect the expectations of the Bank’s management and are based on currently available data; however, actual performance and results are subject to future events and uncertainties, which could materially impact the Bank’s expectations. Among the factors that can cause actual performance and results to differ materially are as follows: the coronavirus (COVID-19) pandemic and government actions intended to limit its spread; the anticipated changes in the Bank’s credit portfolio; the continuation of the Bank’s preferred creditor status; the impact of increasing/decreasing interest rates and of the macroeconomic environment in the Region on the Bank’s financial condition; the execution of the Bank’s strategies and initiatives, including its revenue diversification strategy; the adequacy of the Bank’s allowance for expected credit losses; the need for additional allowance for expected credit losses; the Bank’s ability to achieve future growth, to reduce its liquidity levels and increase its leverage; the Bank’s ability to maintain its investment-grade credit ratings; the availability and mix of future sources of funding for the Bank’s lending operations; potential trading losses; the possibility of fraud; and the adequacy of the Bank’s sources of liquidity to replace deposit withdrawals. Factors or events that could cause our actual results to differ may emerge from time to time, and it is not possible for us to predict all of them. Readers are cautioned not to place undue reliance on these forward-looking statements, which speak only as of the date hereof. We undertake no obligation to publicly update any forward-looking statement, whether as a result of new information, future developments or otherwise, except as may be required by law.</w:t>
      </w:r>
    </w:p>
    <w:p>
      <w:pPr>
        <w:spacing w:after="0" w:line="19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ABOUT BLADEX</w:t>
      </w:r>
    </w:p>
    <w:p>
      <w:pPr>
        <w:spacing w:after="0" w:line="229" w:lineRule="exact"/>
        <w:rPr>
          <w:sz w:val="20"/>
          <w:szCs w:val="20"/>
          <w:color w:val="auto"/>
        </w:rPr>
      </w:pPr>
    </w:p>
    <w:p>
      <w:pPr>
        <w:jc w:val="both"/>
        <w:ind w:right="60"/>
        <w:spacing w:after="0" w:line="259" w:lineRule="auto"/>
        <w:rPr>
          <w:sz w:val="20"/>
          <w:szCs w:val="20"/>
          <w:color w:val="auto"/>
        </w:rPr>
      </w:pPr>
      <w:r>
        <w:rPr>
          <w:rFonts w:ascii="Arial" w:cs="Arial" w:eastAsia="Arial" w:hAnsi="Arial"/>
          <w:sz w:val="18"/>
          <w:szCs w:val="18"/>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and the United States of America, and a Representative License in Peru, supporting the regional expansion and servicing its customer base, which includes financial institutions and corporations.</w:t>
      </w:r>
    </w:p>
    <w:p>
      <w:pPr>
        <w:spacing w:after="0" w:line="187" w:lineRule="exact"/>
        <w:rPr>
          <w:sz w:val="20"/>
          <w:szCs w:val="20"/>
          <w:color w:val="auto"/>
        </w:rPr>
      </w:pPr>
    </w:p>
    <w:p>
      <w:pPr>
        <w:jc w:val="both"/>
        <w:ind w:right="60"/>
        <w:spacing w:after="0" w:line="342" w:lineRule="auto"/>
        <w:rPr>
          <w:sz w:val="20"/>
          <w:szCs w:val="20"/>
          <w:color w:val="auto"/>
        </w:rPr>
      </w:pPr>
      <w:r>
        <w:rPr>
          <w:rFonts w:ascii="Arial" w:cs="Arial" w:eastAsia="Arial" w:hAnsi="Arial"/>
          <w:sz w:val="16"/>
          <w:szCs w:val="16"/>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w:t>
      </w:r>
    </w:p>
    <w:p>
      <w:pPr>
        <w:sectPr>
          <w:pgSz w:w="11900" w:h="16838" w:orient="portrait"/>
          <w:cols w:equalWidth="0" w:num="1">
            <w:col w:w="11220"/>
          </w:cols>
          <w:pgMar w:left="320" w:top="1440" w:right="359" w:bottom="0" w:gutter="0" w:footer="0" w:header="0"/>
        </w:sectPr>
      </w:pPr>
    </w:p>
    <w:bookmarkStart w:id="11" w:name="page12"/>
    <w:bookmarkEnd w:id="11"/>
    <w:p>
      <w:pPr>
        <w:spacing w:after="0"/>
        <w:rPr>
          <w:sz w:val="20"/>
          <w:szCs w:val="20"/>
          <w:color w:val="auto"/>
        </w:rPr>
      </w:pPr>
      <w:r>
        <w:rPr>
          <w:rFonts w:ascii="Arial" w:cs="Arial" w:eastAsia="Arial" w:hAnsi="Arial"/>
          <w:sz w:val="18"/>
          <w:szCs w:val="18"/>
          <w:color w:val="auto"/>
        </w:rPr>
        <w:t>public listing.</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CONFERENCE CALL INFORMATION</w:t>
      </w:r>
    </w:p>
    <w:p>
      <w:pPr>
        <w:spacing w:after="0" w:line="229"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 xml:space="preserve">There will be a conference call to discuss the Bank’s quarterly results on Tuesday, July 28, 2020 at 11:00 a.m. New York City time (Eastern Time). For those interested in participating, please dial 1-877-271-1828 in the United States or, if outside the United States, 1-334-323-9871. Participants should use conference passcode 89194804#, and dial in five minutes before the call is set to begin. There will also be a live audio webcast of the conference at </w:t>
      </w:r>
      <w:r>
        <w:rPr>
          <w:rFonts w:ascii="Arial" w:cs="Arial" w:eastAsia="Arial" w:hAnsi="Arial"/>
          <w:sz w:val="17"/>
          <w:szCs w:val="17"/>
          <w:u w:val="single" w:color="auto"/>
          <w:color w:val="auto"/>
        </w:rPr>
        <w:t>http://www.bladex.com</w:t>
      </w:r>
      <w:r>
        <w:rPr>
          <w:rFonts w:ascii="Arial" w:cs="Arial" w:eastAsia="Arial" w:hAnsi="Arial"/>
          <w:sz w:val="17"/>
          <w:szCs w:val="17"/>
          <w:color w:val="auto"/>
        </w:rPr>
        <w:t xml:space="preserve">. The webcast presentation will be available for viewing and downloads on </w:t>
      </w:r>
      <w:r>
        <w:rPr>
          <w:rFonts w:ascii="Arial" w:cs="Arial" w:eastAsia="Arial" w:hAnsi="Arial"/>
          <w:sz w:val="17"/>
          <w:szCs w:val="17"/>
          <w:u w:val="single" w:color="auto"/>
          <w:color w:val="auto"/>
        </w:rPr>
        <w:t>http://www.bladex.com</w:t>
      </w:r>
      <w:r>
        <w:rPr>
          <w:rFonts w:ascii="Arial" w:cs="Arial" w:eastAsia="Arial" w:hAnsi="Arial"/>
          <w:sz w:val="17"/>
          <w:szCs w:val="17"/>
          <w:color w:val="auto"/>
        </w:rPr>
        <w:t>.</w:t>
      </w:r>
    </w:p>
    <w:p>
      <w:pPr>
        <w:spacing w:after="0" w:line="171"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conference call will become available for review on Conference Replay one hour after its conclusion and will remain available for 60 days. Please dial (877) 919-4059 or (334) 323-0140 and follow the instructions. The replay passcode is: 34627735.</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For more information, please access </w:t>
      </w:r>
      <w:r>
        <w:rPr>
          <w:rFonts w:ascii="Arial" w:cs="Arial" w:eastAsia="Arial" w:hAnsi="Arial"/>
          <w:sz w:val="18"/>
          <w:szCs w:val="18"/>
          <w:u w:val="single" w:color="auto"/>
          <w:color w:val="auto"/>
        </w:rPr>
        <w:t>http://www.bladex.com</w:t>
      </w:r>
      <w:r>
        <w:rPr>
          <w:rFonts w:ascii="Arial" w:cs="Arial" w:eastAsia="Arial" w:hAnsi="Arial"/>
          <w:sz w:val="18"/>
          <w:szCs w:val="18"/>
          <w:color w:val="auto"/>
        </w:rPr>
        <w:t xml:space="preserve"> or contact:</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Mrs. Ana Graciela de Méndez</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Chief Financial Officer</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Tel: +507 210-8563</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auto"/>
        </w:rPr>
        <w:t>amendez@bladex.com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417195</wp:posOffset>
            </wp:positionV>
            <wp:extent cx="7132320" cy="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160"/>
          </w:cols>
          <w:pgMar w:left="320" w:top="125" w:right="419" w:bottom="1440" w:gutter="0" w:footer="0" w:header="0"/>
        </w:sectPr>
      </w:pPr>
    </w:p>
    <w:bookmarkStart w:id="12" w:name="page13"/>
    <w:bookmarkEnd w:id="12"/>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208280</wp:posOffset>
            </wp:positionH>
            <wp:positionV relativeFrom="page">
              <wp:posOffset>3020695</wp:posOffset>
            </wp:positionV>
            <wp:extent cx="7132320" cy="10458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clrChange>
                        <a:clrFrom>
                          <a:srgbClr val="FFFFFF"/>
                        </a:clrFrom>
                        <a:clrTo>
                          <a:srgbClr val="FFFFFF">
                            <a:alpha val="0"/>
                          </a:srgbClr>
                        </a:clrTo>
                      </a:clrChange>
                      <a:extLst>
                        <a:ext uri="{28A0092B-C50C-407E-A947-70E740481C1C}"/>
                      </a:extLst>
                    </a:blip>
                    <a:srcRect/>
                    <a:stretch>
                      <a:fillRect/>
                    </a:stretch>
                  </pic:blipFill>
                  <pic:spPr bwMode="auto">
                    <a:xfrm>
                      <a:off x="0" y="0"/>
                      <a:ext cx="7132320" cy="1045845"/>
                    </a:xfrm>
                    <a:prstGeom prst="rect">
                      <a:avLst/>
                    </a:prstGeom>
                    <a:noFill/>
                  </pic:spPr>
                </pic:pic>
              </a:graphicData>
            </a:graphic>
          </wp:anchor>
        </w:drawing>
      </w:r>
    </w:p>
    <w:p>
      <w:pPr>
        <w:sectPr>
          <w:pgSz w:w="11900" w:h="16838" w:orient="portrait"/>
          <w:cols w:equalWidth="1" w:num="1" w:space="0"/>
          <w:pgMar w:left="1440" w:top="1440" w:right="1440" w:bottom="875" w:gutter="0" w:footer="0" w:header="0"/>
        </w:sectPr>
      </w:pPr>
    </w:p>
    <w:bookmarkStart w:id="13" w:name="page14"/>
    <w:bookmarkEnd w:id="13"/>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208280</wp:posOffset>
            </wp:positionH>
            <wp:positionV relativeFrom="page">
              <wp:posOffset>6826885</wp:posOffset>
            </wp:positionV>
            <wp:extent cx="7132320" cy="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132320" cy="8890"/>
                    </a:xfrm>
                    <a:prstGeom prst="rect">
                      <a:avLst/>
                    </a:prstGeom>
                    <a:noFill/>
                  </pic:spPr>
                </pic:pic>
              </a:graphicData>
            </a:graphic>
          </wp:anchor>
        </w:drawing>
        <w:drawing>
          <wp:anchor simplePos="0" relativeHeight="251657728" behindDoc="1" locked="0" layoutInCell="0" allowOverlap="1">
            <wp:simplePos x="0" y="0"/>
            <wp:positionH relativeFrom="page">
              <wp:posOffset>208280</wp:posOffset>
            </wp:positionH>
            <wp:positionV relativeFrom="page">
              <wp:posOffset>431800</wp:posOffset>
            </wp:positionV>
            <wp:extent cx="7132320" cy="52292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clrChange>
                        <a:clrFrom>
                          <a:srgbClr val="FFFFFF"/>
                        </a:clrFrom>
                        <a:clrTo>
                          <a:srgbClr val="FFFFFF">
                            <a:alpha val="0"/>
                          </a:srgbClr>
                        </a:clrTo>
                      </a:clrChange>
                      <a:extLst>
                        <a:ext uri="{28A0092B-C50C-407E-A947-70E740481C1C}"/>
                      </a:extLst>
                    </a:blip>
                    <a:srcRect/>
                    <a:stretch>
                      <a:fillRect/>
                    </a:stretch>
                  </pic:blipFill>
                  <pic:spPr bwMode="auto">
                    <a:xfrm>
                      <a:off x="0" y="0"/>
                      <a:ext cx="7132320" cy="5229225"/>
                    </a:xfrm>
                    <a:prstGeom prst="rect">
                      <a:avLst/>
                    </a:prstGeom>
                    <a:noFill/>
                  </pic:spPr>
                </pic:pic>
              </a:graphicData>
            </a:graphic>
          </wp:anchor>
        </w:drawing>
      </w:r>
    </w:p>
    <w:sectPr>
      <w:pgSz w:w="11900" w:h="16838" w:orient="portrait"/>
      <w:cols w:equalWidth="1" w:num="1" w:space="0"/>
      <w:pgMar w:left="1440" w:top="1440" w:right="1440" w:bottom="875"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2AE8944A"/>
    <w:multiLevelType w:val="hybridMultilevel"/>
    <w:lvl w:ilvl="0">
      <w:lvlJc w:val="left"/>
      <w:lvlText w:val="·"/>
      <w:numFmt w:val="bullet"/>
      <w:start w:val="1"/>
    </w:lvl>
  </w:abstractNum>
  <w:abstractNum w:abstractNumId="1">
    <w:nsid w:val="625558EC"/>
    <w:multiLevelType w:val="hybridMultilevel"/>
    <w:lvl w:ilvl="0">
      <w:lvlJc w:val="left"/>
      <w:lvlText w:val="·"/>
      <w:numFmt w:val="bullet"/>
      <w:start w:val="1"/>
    </w:lvl>
  </w:abstractNum>
  <w:abstractNum w:abstractNumId="2">
    <w:nsid w:val="238E1F29"/>
    <w:multiLevelType w:val="hybridMultilevel"/>
    <w:lvl w:ilvl="0">
      <w:lvlJc w:val="left"/>
      <w:lvlText w:val="§"/>
      <w:numFmt w:val="bullet"/>
      <w:start w:val="1"/>
    </w:lvl>
  </w:abstractNum>
  <w:abstractNum w:abstractNumId="3">
    <w:nsid w:val="46E87CCD"/>
    <w:multiLevelType w:val="hybridMultilevel"/>
    <w:lvl w:ilvl="0">
      <w:lvlJc w:val="left"/>
      <w:lvlText w:val="-"/>
      <w:numFmt w:val="bullet"/>
      <w:start w:val="1"/>
    </w:lvl>
  </w:abstractNum>
  <w:abstractNum w:abstractNumId="4">
    <w:nsid w:val="3D1B58BA"/>
    <w:multiLevelType w:val="hybridMultilevel"/>
    <w:lvl w:ilvl="0">
      <w:lvlJc w:val="left"/>
      <w:lvlText w:val="%1)"/>
      <w:numFmt w:val="decimal"/>
      <w:start w:val="1"/>
    </w:lvl>
  </w:abstractNum>
  <w:abstractNum w:abstractNumId="5">
    <w:nsid w:val="507ED7AB"/>
    <w:multiLevelType w:val="hybridMultilevel"/>
    <w:lvl w:ilvl="0">
      <w:lvlJc w:val="left"/>
      <w:lvlText w:val="%1)"/>
      <w:numFmt w:val="decimal"/>
      <w:start w:val="6"/>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png"/><Relationship Id="rId18" Type="http://schemas.openxmlformats.org/officeDocument/2006/relationships/image" Target="media/image11.jpeg"/><Relationship Id="rId19" Type="http://schemas.openxmlformats.org/officeDocument/2006/relationships/image" Target="media/image12.png"/><Relationship Id="rId20" Type="http://schemas.openxmlformats.org/officeDocument/2006/relationships/image" Target="media/image13.jpeg"/><Relationship Id="rId21" Type="http://schemas.openxmlformats.org/officeDocument/2006/relationships/image" Target="media/image14.png"/><Relationship Id="rId22" Type="http://schemas.openxmlformats.org/officeDocument/2006/relationships/image" Target="media/image15.jpe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jpeg"/><Relationship Id="rId26" Type="http://schemas.openxmlformats.org/officeDocument/2006/relationships/image" Target="media/image19.png"/><Relationship Id="rId27" Type="http://schemas.openxmlformats.org/officeDocument/2006/relationships/image" Target="media/image20.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2020-07-29T05:48:44Z</dcterms:created>
  <dcterms:modified xsi:type="dcterms:W3CDTF">2020-07-29T05:48:44Z</dcterms:modified>
</cp:coreProperties>
</file>